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000000"/>
          <w:sz w:val="24"/>
        </w:rPr>
      </w:pPr>
      <w:bookmarkStart w:id="0" w:name="_GoBack"/>
      <w:r>
        <w:rPr>
          <w:rFonts w:hint="eastAsia" w:ascii="黑体" w:hAnsi="黑体" w:eastAsia="黑体"/>
          <w:color w:val="000000"/>
          <w:sz w:val="24"/>
        </w:rPr>
        <w:t>附件：</w:t>
      </w:r>
      <w:r>
        <w:rPr>
          <w:rFonts w:ascii="黑体" w:hAnsi="黑体" w:eastAsia="黑体"/>
          <w:color w:val="000000"/>
          <w:sz w:val="24"/>
        </w:rPr>
        <w:t>培训模块及内容</w:t>
      </w:r>
    </w:p>
    <w:bookmarkEnd w:id="0"/>
    <w:tbl>
      <w:tblPr>
        <w:tblStyle w:val="3"/>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813"/>
        <w:gridCol w:w="5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360" w:lineRule="auto"/>
              <w:jc w:val="center"/>
              <w:rPr>
                <w:rFonts w:ascii="方正小标宋简体" w:eastAsia="方正小标宋简体"/>
                <w:color w:val="000000"/>
                <w:sz w:val="30"/>
                <w:szCs w:val="30"/>
              </w:rPr>
            </w:pPr>
            <w:r>
              <w:rPr>
                <w:rFonts w:hint="eastAsia" w:eastAsia="仿宋_GB2312"/>
                <w:b/>
                <w:szCs w:val="22"/>
              </w:rPr>
              <w:t>培训</w:t>
            </w:r>
            <w:r>
              <w:rPr>
                <w:rFonts w:eastAsia="仿宋_GB2312"/>
                <w:b/>
                <w:szCs w:val="22"/>
              </w:rPr>
              <w:t>模块</w:t>
            </w:r>
          </w:p>
        </w:tc>
        <w:tc>
          <w:tcPr>
            <w:tcW w:w="2813" w:type="dxa"/>
            <w:vAlign w:val="center"/>
          </w:tcPr>
          <w:p>
            <w:pPr>
              <w:spacing w:line="360" w:lineRule="auto"/>
              <w:jc w:val="center"/>
              <w:rPr>
                <w:rFonts w:ascii="方正小标宋简体" w:eastAsia="方正小标宋简体"/>
                <w:color w:val="000000"/>
                <w:sz w:val="30"/>
                <w:szCs w:val="30"/>
              </w:rPr>
            </w:pPr>
            <w:r>
              <w:rPr>
                <w:rFonts w:eastAsia="仿宋_GB2312"/>
                <w:b/>
                <w:szCs w:val="22"/>
              </w:rPr>
              <w:t>课程名称</w:t>
            </w:r>
          </w:p>
        </w:tc>
        <w:tc>
          <w:tcPr>
            <w:tcW w:w="5871" w:type="dxa"/>
            <w:vAlign w:val="center"/>
          </w:tcPr>
          <w:p>
            <w:pPr>
              <w:spacing w:line="360" w:lineRule="auto"/>
              <w:jc w:val="center"/>
              <w:rPr>
                <w:rFonts w:ascii="方正小标宋简体" w:eastAsia="方正小标宋简体"/>
                <w:color w:val="000000"/>
                <w:sz w:val="30"/>
                <w:szCs w:val="30"/>
              </w:rPr>
            </w:pPr>
            <w:r>
              <w:rPr>
                <w:rFonts w:eastAsia="仿宋_GB2312"/>
                <w:b/>
                <w:szCs w:val="22"/>
              </w:rPr>
              <w:t>课程目标及内容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restart"/>
            <w:vAlign w:val="center"/>
          </w:tcPr>
          <w:p>
            <w:pPr>
              <w:pStyle w:val="5"/>
              <w:snapToGrid w:val="0"/>
              <w:ind w:firstLine="0" w:firstLineChars="0"/>
              <w:jc w:val="center"/>
              <w:rPr>
                <w:rFonts w:eastAsia="仿宋_GB2312"/>
                <w:szCs w:val="22"/>
              </w:rPr>
            </w:pPr>
            <w:r>
              <w:rPr>
                <w:rFonts w:eastAsia="仿宋_GB2312"/>
                <w:szCs w:val="22"/>
              </w:rPr>
              <w:t>职教前沿与</w:t>
            </w:r>
          </w:p>
          <w:p>
            <w:pPr>
              <w:spacing w:line="360" w:lineRule="auto"/>
              <w:jc w:val="center"/>
              <w:rPr>
                <w:rFonts w:ascii="方正小标宋简体" w:eastAsia="方正小标宋简体"/>
                <w:color w:val="000000"/>
                <w:sz w:val="30"/>
                <w:szCs w:val="30"/>
              </w:rPr>
            </w:pPr>
            <w:r>
              <w:rPr>
                <w:rFonts w:eastAsia="仿宋_GB2312"/>
                <w:szCs w:val="22"/>
              </w:rPr>
              <w:t>政策解读</w:t>
            </w: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习近平总书记关于师德师风建设重要论述的时代价值和践行路径</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学习贯彻党的二十大精神和习近平总书记关于立德树人、加强师德师风建设的一系列重要指示精神，推动我国教育学理论研究和师德建设实践，学习关于师德师风建设重要论述的时代价值和践行路径。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基于课程思政建设的高职院校课程改革与教学质量提升</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专业课教师如何开展课程思政，如何在人才培养中融合思政精神，如何发挥课程教学的思政功效。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rPr>
                <w:rFonts w:eastAsia="仿宋_GB2312"/>
                <w:szCs w:val="22"/>
              </w:rPr>
            </w:pPr>
            <w:r>
              <w:rPr>
                <w:rFonts w:eastAsia="仿宋_GB2312"/>
                <w:szCs w:val="22"/>
              </w:rPr>
              <w:t>职业教育高质量发展路径</w:t>
            </w:r>
          </w:p>
          <w:p>
            <w:pPr>
              <w:spacing w:line="360" w:lineRule="auto"/>
              <w:rPr>
                <w:rFonts w:ascii="方正小标宋简体" w:eastAsia="方正小标宋简体"/>
                <w:color w:val="000000"/>
                <w:sz w:val="30"/>
                <w:szCs w:val="30"/>
              </w:rPr>
            </w:pPr>
            <w:r>
              <w:rPr>
                <w:rFonts w:eastAsia="仿宋_GB2312"/>
                <w:szCs w:val="22"/>
              </w:rPr>
              <w:t>探索</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如何实现职业教育高质量发展，以改革的思路破解难题，书写好以质量固根基、以质量增活力、以质量促发展的职业教育新篇章。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新修订《职业教育法》解读</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解读新修订《职业教育法》，提炼新法的主要特点及核心思想。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restart"/>
            <w:vAlign w:val="center"/>
          </w:tcPr>
          <w:p>
            <w:pPr>
              <w:pStyle w:val="5"/>
              <w:snapToGrid w:val="0"/>
              <w:ind w:firstLine="0" w:firstLineChars="0"/>
              <w:jc w:val="center"/>
              <w:rPr>
                <w:rFonts w:eastAsia="仿宋_GB2312"/>
                <w:szCs w:val="22"/>
              </w:rPr>
            </w:pPr>
            <w:r>
              <w:rPr>
                <w:rFonts w:eastAsia="仿宋_GB2312"/>
                <w:szCs w:val="22"/>
              </w:rPr>
              <w:t>专业建设与</w:t>
            </w:r>
          </w:p>
          <w:p>
            <w:pPr>
              <w:spacing w:line="360" w:lineRule="auto"/>
              <w:jc w:val="center"/>
              <w:rPr>
                <w:rFonts w:ascii="方正小标宋简体" w:eastAsia="方正小标宋简体"/>
                <w:color w:val="000000"/>
                <w:sz w:val="30"/>
                <w:szCs w:val="30"/>
              </w:rPr>
            </w:pPr>
            <w:r>
              <w:rPr>
                <w:rFonts w:eastAsia="仿宋_GB2312"/>
                <w:szCs w:val="22"/>
              </w:rPr>
              <w:t>教学改革</w:t>
            </w: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职业教育国家教学标准体系与专业教学标准</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职业教育国家教学标准体系与专业教学标准；根据学院专业开展项目案例实践。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数字化变革背景下职业院校“双师型”教师队伍建设</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总结职业教育教师队伍建设进展成效，分析新时代职教教师的新要求以及“双师型”教师队伍建设的举措。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职业教育教师专业发展与团队建设</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关于如何做好职业教育教师专业发展与团队建设，开展新时代职业教育教师培育新模式。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职业技术师范教育人才培养模式</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职业技术师范院校人才培养目标；分析我国职业教育人才培养现状，阐释职业技术师范教育人才培养模式及案例分享。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eastAsia="仿宋_GB2312"/>
                <w:szCs w:val="22"/>
              </w:rPr>
            </w:pPr>
            <w:r>
              <w:rPr>
                <w:rFonts w:eastAsia="仿宋_GB2312"/>
                <w:szCs w:val="22"/>
              </w:rPr>
              <w:t>职业教育教学研究与教学</w:t>
            </w:r>
          </w:p>
          <w:p>
            <w:pPr>
              <w:spacing w:line="360" w:lineRule="auto"/>
              <w:jc w:val="left"/>
              <w:rPr>
                <w:rFonts w:ascii="方正小标宋简体" w:eastAsia="方正小标宋简体"/>
                <w:color w:val="000000"/>
                <w:sz w:val="30"/>
                <w:szCs w:val="30"/>
              </w:rPr>
            </w:pPr>
            <w:r>
              <w:rPr>
                <w:rFonts w:eastAsia="仿宋_GB2312"/>
                <w:szCs w:val="22"/>
              </w:rPr>
              <w:t>改革</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职业教育教学改革研究现状及发展前景阐释；职业教育教学改革理论研究和案例分享。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教师教学创新大赛案例分享</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通过教师教学创新大赛案例分享，提升教师教学创新能力。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eastAsia="仿宋_GB2312"/>
                <w:szCs w:val="22"/>
              </w:rPr>
            </w:pPr>
            <w:r>
              <w:rPr>
                <w:rFonts w:eastAsia="仿宋_GB2312"/>
                <w:szCs w:val="22"/>
              </w:rPr>
              <w:t>项目教学改革方案研讨与</w:t>
            </w:r>
          </w:p>
          <w:p>
            <w:pPr>
              <w:spacing w:line="360" w:lineRule="auto"/>
              <w:jc w:val="left"/>
              <w:rPr>
                <w:rFonts w:ascii="方正小标宋简体" w:eastAsia="方正小标宋简体"/>
                <w:color w:val="000000"/>
                <w:sz w:val="30"/>
                <w:szCs w:val="30"/>
              </w:rPr>
            </w:pPr>
            <w:r>
              <w:rPr>
                <w:rFonts w:eastAsia="仿宋_GB2312"/>
                <w:szCs w:val="22"/>
              </w:rPr>
              <w:t>实践</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自动化系统集成专业概况；基于CDIO理念、结合国情，开展“421”系列项目教学改革实践探讨。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eastAsia="仿宋_GB2312"/>
                <w:szCs w:val="22"/>
              </w:rPr>
            </w:pPr>
            <w:r>
              <w:rPr>
                <w:rFonts w:eastAsia="仿宋_GB2312"/>
                <w:szCs w:val="22"/>
              </w:rPr>
              <w:t>国家级工程实训中心运行</w:t>
            </w:r>
          </w:p>
          <w:p>
            <w:pPr>
              <w:spacing w:line="360" w:lineRule="auto"/>
              <w:jc w:val="left"/>
              <w:rPr>
                <w:rFonts w:ascii="方正小标宋简体" w:eastAsia="方正小标宋简体"/>
                <w:color w:val="000000"/>
                <w:sz w:val="30"/>
                <w:szCs w:val="30"/>
              </w:rPr>
            </w:pPr>
            <w:r>
              <w:rPr>
                <w:rFonts w:eastAsia="仿宋_GB2312"/>
                <w:szCs w:val="22"/>
              </w:rPr>
              <w:t>管理实践与探索</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以天津职业技术师范大学工程实训中心为例，分享实训中心运行管理模式。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pStyle w:val="5"/>
              <w:snapToGrid w:val="0"/>
              <w:ind w:left="-44" w:leftChars="-21" w:right="-101" w:rightChars="-48" w:firstLine="0" w:firstLineChars="0"/>
              <w:jc w:val="left"/>
              <w:rPr>
                <w:rFonts w:eastAsia="仿宋_GB2312"/>
                <w:szCs w:val="22"/>
              </w:rPr>
            </w:pPr>
            <w:r>
              <w:rPr>
                <w:rFonts w:eastAsia="仿宋_GB2312"/>
                <w:szCs w:val="22"/>
              </w:rPr>
              <w:t>世界技能大赛解读——大国</w:t>
            </w:r>
          </w:p>
          <w:p>
            <w:pPr>
              <w:pStyle w:val="5"/>
              <w:snapToGrid w:val="0"/>
              <w:ind w:left="-44" w:leftChars="-21" w:right="-101" w:rightChars="-48" w:firstLine="0" w:firstLineChars="0"/>
              <w:jc w:val="left"/>
              <w:rPr>
                <w:rFonts w:eastAsia="仿宋_GB2312"/>
                <w:szCs w:val="22"/>
              </w:rPr>
            </w:pPr>
            <w:r>
              <w:rPr>
                <w:rFonts w:eastAsia="仿宋_GB2312"/>
                <w:szCs w:val="22"/>
              </w:rPr>
              <w:t>工匠的培育</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世界技能大赛基本概况，世界技能大赛训练模式顶层设计探讨。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pStyle w:val="5"/>
              <w:snapToGrid w:val="0"/>
              <w:ind w:firstLine="0" w:firstLineChars="0"/>
              <w:jc w:val="left"/>
              <w:rPr>
                <w:rFonts w:eastAsia="仿宋_GB2312"/>
                <w:szCs w:val="22"/>
              </w:rPr>
            </w:pPr>
            <w:r>
              <w:rPr>
                <w:rFonts w:eastAsia="仿宋_GB2312"/>
                <w:szCs w:val="22"/>
              </w:rPr>
              <w:t>职业技能大赛对选手综合能力的培养和提升</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世界技能大赛移动机器人项目概况以及职业技能大赛对选手综合能力的培养和提升。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技能大赛促进职业院校专业建设模式探索</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解读工业和信息化技术技能大赛及全国智能制造技术技能大赛要求，示范引领课程内容和教学方法改革。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创新工作方法培养与提升——科研与科技论文写作</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科技论文写作要点讲授；科技论文写作技巧经验分享。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restart"/>
            <w:vAlign w:val="center"/>
          </w:tcPr>
          <w:p>
            <w:pPr>
              <w:pStyle w:val="5"/>
              <w:snapToGrid w:val="0"/>
              <w:ind w:firstLine="0" w:firstLineChars="0"/>
              <w:jc w:val="center"/>
              <w:rPr>
                <w:rFonts w:eastAsia="仿宋_GB2312"/>
                <w:szCs w:val="22"/>
              </w:rPr>
            </w:pPr>
            <w:r>
              <w:rPr>
                <w:rFonts w:eastAsia="仿宋_GB2312"/>
                <w:szCs w:val="22"/>
              </w:rPr>
              <w:t>科教融汇与</w:t>
            </w:r>
          </w:p>
          <w:p>
            <w:pPr>
              <w:spacing w:line="360" w:lineRule="auto"/>
              <w:jc w:val="center"/>
              <w:rPr>
                <w:rFonts w:ascii="方正小标宋简体" w:eastAsia="方正小标宋简体"/>
                <w:color w:val="000000"/>
                <w:sz w:val="30"/>
                <w:szCs w:val="30"/>
              </w:rPr>
            </w:pPr>
            <w:r>
              <w:rPr>
                <w:rFonts w:eastAsia="仿宋_GB2312"/>
                <w:szCs w:val="22"/>
              </w:rPr>
              <w:t>产教融合</w:t>
            </w:r>
          </w:p>
        </w:tc>
        <w:tc>
          <w:tcPr>
            <w:tcW w:w="2813" w:type="dxa"/>
            <w:vAlign w:val="center"/>
          </w:tcPr>
          <w:p>
            <w:pPr>
              <w:pStyle w:val="5"/>
              <w:snapToGrid w:val="0"/>
              <w:ind w:left="-44" w:leftChars="-21" w:right="-101" w:rightChars="-48" w:firstLine="0" w:firstLineChars="0"/>
              <w:jc w:val="left"/>
              <w:rPr>
                <w:rFonts w:ascii="方正小标宋简体" w:eastAsia="方正小标宋简体"/>
                <w:color w:val="000000"/>
                <w:sz w:val="30"/>
                <w:szCs w:val="30"/>
              </w:rPr>
            </w:pPr>
            <w:r>
              <w:rPr>
                <w:rFonts w:eastAsia="仿宋_GB2312"/>
                <w:szCs w:val="22"/>
              </w:rPr>
              <w:t>工业自动化仪表新技术</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工业自动化仪表技术发展及案例分享。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智慧工厂自动化技术操作与训练</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智慧工厂自动化生产线案例分享及实践教学、元宇宙模块训练、智慧工厂虚拟场景搭建。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智能制造虚拟仿真实训教学</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产教融合技能人才培养及虚实结合培养方式介绍，开展虚拟仿真软件环境下产线设备工艺流程实训教学。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基于e-factory的智能制造人才培养与探索</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智能制造人才培养模式经验分享。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移动工厂技术实践</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自动化展车现场教学与实践。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智能制造生产性学习工厂岗位实践</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智能仓储物流系统编程与调试；参观学习智能制造生产性学习工厂-智能笔筒产线，推进课程建设、体系创新教学改革。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数字孪生应用技术实践</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数字孪生系统软件的应用，工作站系统联调。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行走机械手模块训练</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工程案例编程与调试：行走机械手入库精准定位练习，程序调试与优化以及项目分析。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工业机器人技术实践</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工业机器人概述，工业机器人操作与程序编制案例教学。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产教融合校企合作模式探索</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产教融合校企合作模式交流；“双高建设”经验交流。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智能制造及国际交流项目探索</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鲁班工坊、GF智能制造实训基地、新能源实训基地现场教学。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工业互联网技术实践</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工业互联网工程案例分享、中关村中试平台工程案例教学。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ascii="方正小标宋简体" w:eastAsia="方正小标宋简体"/>
                <w:color w:val="000000"/>
                <w:sz w:val="30"/>
                <w:szCs w:val="30"/>
              </w:rPr>
            </w:pPr>
            <w:r>
              <w:rPr>
                <w:rFonts w:eastAsia="仿宋_GB2312"/>
                <w:szCs w:val="22"/>
              </w:rPr>
              <w:t>基于智慧消防项目开展智能控制案例教学</w:t>
            </w:r>
          </w:p>
        </w:tc>
        <w:tc>
          <w:tcPr>
            <w:tcW w:w="5871" w:type="dxa"/>
            <w:vAlign w:val="center"/>
          </w:tcPr>
          <w:p>
            <w:pPr>
              <w:spacing w:line="360" w:lineRule="auto"/>
              <w:jc w:val="left"/>
              <w:rPr>
                <w:rFonts w:ascii="方正小标宋简体" w:eastAsia="方正小标宋简体"/>
                <w:color w:val="000000"/>
                <w:sz w:val="30"/>
                <w:szCs w:val="30"/>
              </w:rPr>
            </w:pPr>
            <w:r>
              <w:rPr>
                <w:rFonts w:eastAsia="仿宋_GB2312"/>
                <w:szCs w:val="22"/>
              </w:rPr>
              <w:t>消防工程技术案例教学。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pPr>
              <w:spacing w:line="360" w:lineRule="auto"/>
              <w:jc w:val="center"/>
              <w:rPr>
                <w:rFonts w:ascii="方正小标宋简体" w:eastAsia="方正小标宋简体"/>
                <w:color w:val="000000"/>
                <w:sz w:val="30"/>
                <w:szCs w:val="30"/>
              </w:rPr>
            </w:pPr>
          </w:p>
        </w:tc>
        <w:tc>
          <w:tcPr>
            <w:tcW w:w="2813" w:type="dxa"/>
            <w:vAlign w:val="center"/>
          </w:tcPr>
          <w:p>
            <w:pPr>
              <w:spacing w:line="360" w:lineRule="auto"/>
              <w:jc w:val="left"/>
              <w:rPr>
                <w:rFonts w:eastAsia="仿宋_GB2312"/>
                <w:szCs w:val="22"/>
              </w:rPr>
            </w:pPr>
            <w:r>
              <w:rPr>
                <w:rFonts w:eastAsia="仿宋_GB2312"/>
                <w:szCs w:val="22"/>
              </w:rPr>
              <w:t>自动化复杂生产线现场教学</w:t>
            </w:r>
          </w:p>
        </w:tc>
        <w:tc>
          <w:tcPr>
            <w:tcW w:w="5871" w:type="dxa"/>
            <w:vAlign w:val="center"/>
          </w:tcPr>
          <w:p>
            <w:pPr>
              <w:spacing w:line="360" w:lineRule="auto"/>
              <w:jc w:val="left"/>
              <w:rPr>
                <w:rFonts w:eastAsia="仿宋_GB2312"/>
                <w:szCs w:val="22"/>
              </w:rPr>
            </w:pPr>
            <w:r>
              <w:rPr>
                <w:rFonts w:eastAsia="仿宋_GB2312"/>
                <w:szCs w:val="22"/>
              </w:rPr>
              <w:t>食品类、航空类、汽车类、医药类等自动化复杂生产线现场教学。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TQyNGM0OGZmZTE0YzFjOTRlN2U4MjkwODc5Y2EifQ=="/>
  </w:docVars>
  <w:rsids>
    <w:rsidRoot w:val="1BF52D5A"/>
    <w:rsid w:val="1BF5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2023-05-05T06:15:00Z</dcterms:created>
  <dc:creator>孙赛</dc:creator>
  <cp:lastModifiedBy>孙赛</cp:lastModifiedBy>
  <dcterms:modified xsi:type="dcterms:W3CDTF">2023-05-05T06:15:31Z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B7F694C81B4347ACACF15C2409664841_11</vt:lpwstr>
  </property>
</Properties>
</file>