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2022年河南省职业院校教师素质提高计划项目任务表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333"/>
        <w:gridCol w:w="4743"/>
        <w:gridCol w:w="2964"/>
        <w:gridCol w:w="1134"/>
        <w:gridCol w:w="1598"/>
        <w:gridCol w:w="1834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Header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子项目名称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生源类别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培训人数（人）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培训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经费标准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pacing w:val="-20"/>
                <w:kern w:val="0"/>
                <w:sz w:val="24"/>
                <w:szCs w:val="24"/>
              </w:rPr>
              <w:t>（万元/人)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3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专业带头人课程实施能力提升</w:t>
            </w:r>
          </w:p>
        </w:tc>
        <w:tc>
          <w:tcPr>
            <w:tcW w:w="47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职业教育国家教学标准体系、课程思政实施、人才培养方案和教案编写与实施、新型活页式与工作手册式教材编写与使用、模块化教学模式研究与实施、实训实习教学组织与实施、教学诊断与改进的实施、教学质量评价等。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计算机应用、电子商务、幼儿保育、音乐表演、会计事务、绘画、工艺美术等7个专业培训项目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中职</w:t>
            </w: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工艺美术40，其他专业各30</w:t>
            </w:r>
          </w:p>
        </w:tc>
        <w:tc>
          <w:tcPr>
            <w:tcW w:w="18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4周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（160学时以上）</w:t>
            </w:r>
          </w:p>
        </w:tc>
        <w:tc>
          <w:tcPr>
            <w:tcW w:w="12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学前教育、大数据与会计、大数据技术、机电一体化技术、护理、计算机应用技术、电子商务、酒店管理与数字化运营等8个专业培训项目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高职</w:t>
            </w: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每个专业各30</w:t>
            </w:r>
          </w:p>
        </w:tc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公共基础课骨干教师教学能力提升</w:t>
            </w:r>
          </w:p>
        </w:tc>
        <w:tc>
          <w:tcPr>
            <w:tcW w:w="47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中职语文、历史统编教材编写思路、课程内容和教学方法；</w:t>
            </w:r>
            <w:r>
              <w:rPr>
                <w:rFonts w:hint="eastAsia" w:ascii="仿宋_GB2312" w:hAnsi="仿宋_GB2312" w:cs="仿宋_GB2312"/>
                <w:color w:val="auto"/>
                <w:spacing w:val="-10"/>
                <w:sz w:val="24"/>
                <w:szCs w:val="24"/>
              </w:rPr>
              <w:t>中职数学、英语等公共基础课和高职语文等公共基础课教师教学能力提升；教案、教学案例开发设计等。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语文、英语、数学、历史等4个学科培训项目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中职</w:t>
            </w: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每个学科各60</w:t>
            </w:r>
          </w:p>
        </w:tc>
        <w:tc>
          <w:tcPr>
            <w:tcW w:w="18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2周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（80学时以上）</w:t>
            </w:r>
          </w:p>
        </w:tc>
        <w:tc>
          <w:tcPr>
            <w:tcW w:w="12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语文学科培训项目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高职</w:t>
            </w: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骨干教师信息技术应用能力提升</w:t>
            </w:r>
          </w:p>
        </w:tc>
        <w:tc>
          <w:tcPr>
            <w:tcW w:w="47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职业教育信息化制度标准、数字化教学资源开发制作应用、在线教学组织实施和平台使用、混合式教学组织实施、VR（虚拟现实）、AR（增强现实）、MR（混合现实）、AI（人工智能）等新一代信息技术应用、教学管理信息化应用。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中职骨干教师信息技术应用能力提升培训项目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中职</w:t>
            </w: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18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3周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（120学时以上）</w:t>
            </w:r>
          </w:p>
        </w:tc>
        <w:tc>
          <w:tcPr>
            <w:tcW w:w="12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1.155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高职骨干教师信息技术应用能力提升培训项目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高职</w:t>
            </w: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3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名校长（书记）培育</w:t>
            </w:r>
          </w:p>
        </w:tc>
        <w:tc>
          <w:tcPr>
            <w:tcW w:w="47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党中央、国务院关于职业教育和教师工作的重要政策、国际职业教育先进理念和实践、区域职业教育现代化、职业院校治理、职业院校人才培养模式改革、1+X证书制度、“三教”改革组织领导与实施、校企合作深化、教育教学成果培育、信息化建设管理和应用等。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名校长、新任校长等2个培训项目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中职</w:t>
            </w: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每个项目各60</w:t>
            </w:r>
          </w:p>
        </w:tc>
        <w:tc>
          <w:tcPr>
            <w:tcW w:w="18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2周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（80学时以上）</w:t>
            </w:r>
          </w:p>
        </w:tc>
        <w:tc>
          <w:tcPr>
            <w:tcW w:w="12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名校长、新任校长等2个培训项目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高职</w:t>
            </w: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每个项目各40</w:t>
            </w:r>
          </w:p>
        </w:tc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3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名师（名匠）团队培育</w:t>
            </w:r>
          </w:p>
        </w:tc>
        <w:tc>
          <w:tcPr>
            <w:tcW w:w="4743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模块化课程建设与组织实施、教学资源研发、教学能力和教科研能力提升等；技艺技能传承创新平台研修内容主要包括技术技能传承、积累与开发应用、传统（民族）技艺传承、实习实训资源开发、创新创业教育经验交流等。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“双师型”名师工作室及技艺技能传承创新平台主持人培训项目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中、高职</w:t>
            </w: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18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4周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（160学时以上）</w:t>
            </w:r>
          </w:p>
        </w:tc>
        <w:tc>
          <w:tcPr>
            <w:tcW w:w="12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顶层设计、思政教育、团队建设、模块化课程建设、教学模式改革、实践教学等方面全方位精心安排课程，推动教师分工协作进行模块化教学模式全面实施。</w:t>
            </w:r>
          </w:p>
        </w:tc>
        <w:tc>
          <w:tcPr>
            <w:tcW w:w="296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省级教师教学创新团队培训项目（中职）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中职</w:t>
            </w: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省级教师教学创新团队培训项目（高职）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高职</w:t>
            </w: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3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思想政治教育专题培训</w:t>
            </w:r>
          </w:p>
        </w:tc>
        <w:tc>
          <w:tcPr>
            <w:tcW w:w="47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课程思政团队搭建、课程思政建设模式、课程思政元素的挖掘与融入、课程思政教学设计与实施、课程思政考核方式和评价办法、以及课程思政资源建设与推广等</w:t>
            </w:r>
          </w:p>
        </w:tc>
        <w:tc>
          <w:tcPr>
            <w:tcW w:w="296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课程思政教学研究示范中心负责人培训项目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中、高职</w:t>
            </w: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2周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（80学时以上）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/>
                <w:color w:val="auto"/>
                <w:sz w:val="24"/>
                <w:szCs w:val="24"/>
              </w:rPr>
            </w:pPr>
          </w:p>
        </w:tc>
        <w:tc>
          <w:tcPr>
            <w:tcW w:w="4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课程思政示范课程负责人培训项目（线上同步培训）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180（分三期每期60）</w:t>
            </w:r>
          </w:p>
        </w:tc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auto"/>
                <w:sz w:val="24"/>
                <w:szCs w:val="24"/>
              </w:rPr>
              <w:t>0.4</w:t>
            </w:r>
          </w:p>
        </w:tc>
      </w:tr>
    </w:tbl>
    <w:p>
      <w:pPr>
        <w:jc w:val="left"/>
        <w:rPr>
          <w:rFonts w:hint="eastAsia" w:ascii="黑体" w:hAnsi="黑体" w:eastAsia="黑体"/>
          <w:color w:val="auto"/>
        </w:rPr>
      </w:pPr>
    </w:p>
    <w:p>
      <w:pPr>
        <w:jc w:val="left"/>
        <w:rPr>
          <w:rFonts w:hint="eastAsia" w:ascii="黑体" w:hAnsi="黑体" w:eastAsia="黑体"/>
          <w:color w:val="auto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40" w:h="11907" w:orient="landscape"/>
          <w:pgMar w:top="1361" w:right="2268" w:bottom="1531" w:left="1644" w:header="0" w:footer="1814" w:gutter="0"/>
          <w:cols w:space="720" w:num="1"/>
          <w:docGrid w:type="linesAndChars" w:linePitch="587" w:charSpace="10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5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adjustRightInd w:val="0"/>
      <w:ind w:right="300" w:rightChars="100"/>
      <w:jc w:val="right"/>
      <w:rPr>
        <w:rFonts w:ascii="仿宋" w:hAnsi="仿宋"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adjustRightInd w:val="0"/>
      <w:ind w:right="300" w:rightChars="100" w:firstLine="360"/>
      <w:rPr>
        <w:rFonts w:ascii="仿宋" w:hAnsi="仿宋" w:eastAsia="仿宋"/>
      </w:rPr>
    </w:pPr>
    <w:r>
      <w:rPr>
        <w:rStyle w:val="6"/>
        <w:rFonts w:ascii="仿宋" w:hAnsi="仿宋" w:eastAsia="仿宋"/>
        <w:sz w:val="28"/>
        <w:szCs w:val="28"/>
      </w:rPr>
      <w:t>——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48" w:after="4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48" w:after="48"/>
      <w:rPr>
        <w:rFonts w:ascii="仿宋" w:hAnsi="仿宋" w:eastAsia="仿宋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TQyNGM0OGZmZTE0YzFjOTRlN2U4MjkwODc5Y2EifQ=="/>
  </w:docVars>
  <w:rsids>
    <w:rsidRoot w:val="4C2634C0"/>
    <w:rsid w:val="4C26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2022-07-31T03:45:00Z</dcterms:created>
  <dc:creator>孙赛</dc:creator>
  <cp:lastModifiedBy>孙赛</cp:lastModifiedBy>
  <dcterms:modified xsi:type="dcterms:W3CDTF">2022-07-31T03:48:00Z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5244A9DA9E5D44E9AAD2D84C30F2CC07</vt:lpwstr>
  </property>
</Properties>
</file>