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760" w:lineRule="exact"/>
        <w:jc w:val="center"/>
        <w:textAlignment w:val="auto"/>
        <w:rPr>
          <w:rFonts w:ascii="小标宋" w:hAnsi="小标宋" w:eastAsia="小标宋" w:cs="小标宋"/>
          <w:b w:val="0"/>
          <w:bCs w:val="0"/>
          <w:sz w:val="44"/>
          <w:szCs w:val="44"/>
        </w:rPr>
      </w:pPr>
      <w:r>
        <w:rPr>
          <w:rFonts w:hint="eastAsia" w:ascii="小标宋" w:hAnsi="小标宋" w:eastAsia="小标宋" w:cs="小标宋"/>
          <w:b w:val="0"/>
          <w:bCs w:val="0"/>
          <w:sz w:val="44"/>
          <w:szCs w:val="44"/>
        </w:rPr>
        <w:t>以</w:t>
      </w:r>
      <w:r>
        <w:rPr>
          <w:rFonts w:ascii="小标宋" w:hAnsi="小标宋" w:eastAsia="小标宋" w:cs="小标宋"/>
          <w:b w:val="0"/>
          <w:bCs w:val="0"/>
          <w:sz w:val="44"/>
          <w:szCs w:val="44"/>
        </w:rPr>
        <w:t>高素质</w:t>
      </w:r>
      <w:r>
        <w:rPr>
          <w:rFonts w:hint="eastAsia" w:ascii="小标宋" w:hAnsi="小标宋" w:eastAsia="小标宋" w:cs="小标宋"/>
          <w:b w:val="0"/>
          <w:bCs w:val="0"/>
          <w:sz w:val="44"/>
          <w:szCs w:val="44"/>
        </w:rPr>
        <w:t>双师教师队伍支撑</w:t>
      </w:r>
      <w:r>
        <w:rPr>
          <w:rFonts w:ascii="小标宋" w:hAnsi="小标宋" w:eastAsia="小标宋" w:cs="小标宋"/>
          <w:b w:val="0"/>
          <w:bCs w:val="0"/>
          <w:sz w:val="44"/>
          <w:szCs w:val="44"/>
        </w:rPr>
        <w:t>“</w:t>
      </w:r>
      <w:r>
        <w:rPr>
          <w:rFonts w:hint="eastAsia" w:ascii="小标宋" w:hAnsi="小标宋" w:eastAsia="小标宋" w:cs="小标宋"/>
          <w:b w:val="0"/>
          <w:bCs w:val="0"/>
          <w:sz w:val="44"/>
          <w:szCs w:val="44"/>
        </w:rPr>
        <w:t>工匠之</w:t>
      </w:r>
      <w:r>
        <w:rPr>
          <w:rFonts w:ascii="小标宋" w:hAnsi="小标宋" w:eastAsia="小标宋" w:cs="小标宋"/>
          <w:b w:val="0"/>
          <w:bCs w:val="0"/>
          <w:sz w:val="44"/>
          <w:szCs w:val="44"/>
        </w:rPr>
        <w:t>师”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760" w:lineRule="exact"/>
        <w:jc w:val="center"/>
        <w:textAlignment w:val="auto"/>
        <w:rPr>
          <w:rFonts w:ascii="小标宋" w:hAnsi="小标宋" w:eastAsia="小标宋" w:cs="小标宋"/>
          <w:b w:val="0"/>
          <w:bCs w:val="0"/>
          <w:sz w:val="44"/>
          <w:szCs w:val="44"/>
        </w:rPr>
      </w:pPr>
      <w:r>
        <w:rPr>
          <w:rFonts w:hint="eastAsia" w:ascii="小标宋" w:hAnsi="小标宋" w:eastAsia="小标宋" w:cs="小标宋"/>
          <w:b w:val="0"/>
          <w:bCs w:val="0"/>
          <w:sz w:val="44"/>
          <w:szCs w:val="44"/>
        </w:rPr>
        <w:t>人才</w:t>
      </w:r>
      <w:r>
        <w:rPr>
          <w:rFonts w:ascii="小标宋" w:hAnsi="小标宋" w:eastAsia="小标宋" w:cs="小标宋"/>
          <w:b w:val="0"/>
          <w:bCs w:val="0"/>
          <w:sz w:val="44"/>
          <w:szCs w:val="44"/>
        </w:rPr>
        <w:t>培养体系</w:t>
      </w:r>
    </w:p>
    <w:p>
      <w:pPr>
        <w:pStyle w:val="2"/>
        <w:spacing w:before="0" w:beforeLines="0" w:afterLines="0" w:line="560" w:lineRule="exact"/>
        <w:rPr>
          <w:rFonts w:hint="eastAsia" w:ascii="楷体_GB2312" w:hAnsi="楷体_GB2312" w:eastAsia="楷体_GB2312" w:cs="楷体_GB2312"/>
          <w:b w:val="0"/>
          <w:bCs w:val="0"/>
          <w:sz w:val="44"/>
          <w:szCs w:val="44"/>
        </w:rPr>
      </w:pPr>
      <w:r>
        <w:rPr>
          <w:rFonts w:hint="eastAsia" w:ascii="楷体_GB2312" w:hAnsi="楷体_GB2312" w:eastAsia="楷体_GB2312" w:cs="楷体_GB2312"/>
          <w:sz w:val="44"/>
          <w:szCs w:val="44"/>
        </w:rPr>
        <w:t xml:space="preserve">   </w:t>
      </w: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 xml:space="preserve">——广东技术师范大学双师型教师队伍建设探索与实践  </w:t>
      </w:r>
    </w:p>
    <w:p>
      <w:pPr>
        <w:spacing w:beforeLines="0" w:afterLines="0" w:line="560" w:lineRule="exact"/>
        <w:rPr>
          <w:rFonts w:ascii="仿宋" w:hAnsi="仿宋" w:eastAsia="仿宋" w:cs="仿宋"/>
          <w:sz w:val="32"/>
          <w:szCs w:val="32"/>
        </w:rPr>
      </w:pPr>
    </w:p>
    <w:p>
      <w:pPr>
        <w:numPr>
          <w:ilvl w:val="255"/>
          <w:numId w:val="0"/>
        </w:numPr>
        <w:spacing w:beforeLines="0" w:afterLines="0" w:line="560" w:lineRule="exact"/>
        <w:ind w:firstLine="640" w:firstLineChars="200"/>
        <w:rPr>
          <w:rFonts w:hint="default" w:ascii="Times New Roman" w:hAnsi="Times New Roman" w:eastAsia="仿宋_GB2312" w:cs="Times New Roman"/>
          <w:bCs w:val="0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为响应与对接国家职业教育发展需求，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广东技术师范大学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自1998年转型开展职业技术师范教育。转型以来，学校坚定“面向职教、服务职教、引领职教、特色发展”的办学定位，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突出“技术+师范”办学特色和优势，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以培养高素质“工匠之师”为使命担当，形成了鲜明的办学特色。学校</w:t>
      </w:r>
      <w:r>
        <w:rPr>
          <w:rFonts w:hint="default" w:ascii="Times New Roman" w:hAnsi="Times New Roman" w:eastAsia="仿宋_GB2312" w:cs="Times New Roman"/>
          <w:bCs w:val="0"/>
          <w:color w:val="auto"/>
          <w:sz w:val="32"/>
          <w:szCs w:val="32"/>
        </w:rPr>
        <w:t>持续深化产教融合，创新“工匠之师”培养模式，坚定不移为职业教育培养高素质“双师型”职教师资，支撑职业教育高质量发展。学校</w:t>
      </w:r>
      <w:r>
        <w:rPr>
          <w:rFonts w:hint="default" w:ascii="Times New Roman" w:hAnsi="Times New Roman" w:eastAsia="仿宋_GB2312" w:cs="Times New Roman"/>
          <w:bCs w:val="0"/>
          <w:color w:val="000000"/>
          <w:sz w:val="32"/>
          <w:szCs w:val="32"/>
        </w:rPr>
        <w:t>已经成为国家职业教育研究和师资培养培训的南方高地，培养造就了一大批应用型高级专门人才和高素质职教师资，取得了显著的成果。</w:t>
      </w:r>
    </w:p>
    <w:p>
      <w:pPr>
        <w:spacing w:beforeLines="0" w:afterLines="0" w:line="560" w:lineRule="exact"/>
        <w:ind w:firstLine="640" w:firstLineChars="200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  <w:t>一、思想引领：以高质量党建引领教师积极提升素养</w:t>
      </w:r>
    </w:p>
    <w:p>
      <w:pPr>
        <w:spacing w:beforeLines="0" w:afterLines="0"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</w:rPr>
        <w:t>广东技术师范大学历来高度重视师资队伍建设和师德师风建设，着力培养造就具有坚定理想信念、深厚家国情怀、高尚师德师风、极具创新能力的一流教师队伍。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学校坚持以习近平新时代中国特色社会主义思想为指导，认真贯彻落实习近平总书记关于教育的重要论述，加强党的全面领导，全面贯彻党的教育方针，落实立德树人根本任务，引导广大教师坚持用党的创新理论武装头脑、指导实践、推动工作。为打造优良师德师风，培育“四有”好老师，当好“四个引路人”，在学校党委的正确领导和高度重视下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多措并举不断推动高素质双师教师队伍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师德修养、教学水平和科研能力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提升。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坚持重点分类培训，为新入职教师、青年教师和教学骨干、海外归国教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师、研究生导师等不同教师群体，开展有针对性的师德教育和专业技能培训；通过广泛动员、精心组织、贴心服务，激发广大教师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参与各类培训学习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的主动性和积极性，不断提升教师思想政治素养和专业技能水平。</w:t>
      </w:r>
    </w:p>
    <w:p>
      <w:pPr>
        <w:spacing w:beforeLines="0" w:afterLines="0" w:line="560" w:lineRule="exact"/>
        <w:ind w:firstLine="640" w:firstLineChars="200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  <w:t>二、标准引航：打造高素质双师型教师队伍</w:t>
      </w:r>
    </w:p>
    <w:p>
      <w:pPr>
        <w:spacing w:beforeLines="0" w:afterLines="0" w:line="560" w:lineRule="exact"/>
        <w:ind w:firstLine="642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  <w:t>（一）强化职业教育教师发展研究。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构建理论研究与决策咨询一体化职业教师发展研究平台，积极承担国家和省教育行政部门政策研究与各类标准制定任务，提升服务学校服务区域社会经济发展的能力与水平。学校依托广东省职业院校教师发展中心，承担教育部“双师型”职教师资认定标准研制工作，编制了《广东省职业教育教师发展蓝皮书》；依托广东省职业教育发展研究中心，协助制定《广东省职业教育条例》等相关政策文件，研制了3个职教师资专业大类的国家培养标准和认证资格标准，以及5个职教师范专业的省级教学标准与课程标准。</w:t>
      </w:r>
    </w:p>
    <w:p>
      <w:pPr>
        <w:spacing w:beforeLines="0" w:afterLines="0"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组建高水平职业教育教师发展研究学术共同体，建构良好的职业教育研究学术生态，重点在“工匠之师”培育基本理论、课程设置、教学改革、产教融合、工作技能迭代预警等层面进行探索，关注职教师资培育的不同面向，强化研究成果服务政策与区域经济发展的功能，形成职教培育学术研究的广东模式，为职教师资培养贡献了广东智慧。建立“制度引航+效益驱动+转化效率”三维科研激励驱动模型，推动教师将科研成果转化，促进行业企业技术更新，提升生产力；同时，推动教师积极提炼育人成果，将参与职教师资培育课程设置、教学改革、人才培养、专业成长等方面的感性经验进行提炼与升华，促进隐性知识显性化，加速学术研究成果的效益转化与范式推广。</w:t>
      </w:r>
    </w:p>
    <w:p>
      <w:pPr>
        <w:spacing w:beforeLines="0" w:afterLines="0" w:line="560" w:lineRule="exact"/>
        <w:ind w:firstLine="642" w:firstLineChars="200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  <w:t>（二）打造职教师资培养特色品牌。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</w:rPr>
        <w:t>2009年学校率先在国内进行“3+2”专升本“双师型”职教师资人才培养模式探索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各学院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高度重视职业教师队伍建设，结合学院学科专业，打造职教师资培养特色品牌。如创新创业学院通过“内培外引”组建混合型职教师资团队，“贯通联合”打造个性化职后培训体系，打造“双创”职业教育师资团队新高地；光电工程学院紧跟国家发展战略，凝练职业教育教师建设的重点领域——量子光学与器件，依托核心产学研团队，有组织地开展职业教育教师建设等。</w:t>
      </w:r>
    </w:p>
    <w:p>
      <w:pPr>
        <w:spacing w:beforeLines="0" w:afterLines="0"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2009年，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学校率先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制定《广东技术师范学院关于加强“双师型”教师队伍建设的实施试行办法》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2017年学校针对“双师型”教师认定文件进行修订，形成《广东技术师范学院“双师双能型”教师认定办法（试行）》，并认定“双师双能型”教师114人。2020年出台《广东技术师范大学“双师双能型”教师认定暂行办法》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根据学校的实际情况，现“双师型”教师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认定类型分为资格证型、产业经验型、成果转化型、发明专利突出型四种，同时采取了人才引进、柔性引进、实践培训、成果转化、考评资格等五项举措贯彻落实。截止目前，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累计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认定“双师型”（含“双师双能型”）教师339人。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其中，许多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“双师型”教师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已经成长为教学实践骨干，成为学校教师的模范。学校教师、教育部“全国高校就业创业指导教师特聘专家”黄明睿副教授担纲的慕课《创业之路——带你玩转商业模式》在2017年就正式登陆中国大学MOOC平台，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成为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广东省首门创业类慕课，截至2020年，使用该课程学校达到173所，选课总人数超过6万人，累计课程访问量达到132万人次，应用范围从本科到高职高专各类院校，覆盖美国、澳大利亚、西班牙等国家。学校教师汪永智教授，先后被聘为广东省中职德育研究与指导中心主任、中国职业技术教育学会德育工作委员会副主任（两届）、入选教育部大中小学思政课一体化建设指导委员会专家组成员等，充分展现了我校在中职德育建设方面的影响力与辐射力。</w:t>
      </w:r>
    </w:p>
    <w:p>
      <w:pPr>
        <w:spacing w:beforeLines="0" w:afterLines="0" w:line="560" w:lineRule="exact"/>
        <w:ind w:firstLine="642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  <w:t>）主动作为，构建产教融合的职教师资多元培养格局。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其一，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服务国家产教融合和粤港澳大湾区发展战略，坚持以产教融合推进学校内涵式发展，利用广东省产教融合促进会会长单位的优势，组织协调校政企行等会员单位，积极与各业界企业开展多元化合作，积极探索产教融合新模式，通过与奇安信产教融合共建网络空间安全学院、打造产教融合示范基地，与网易共建人工智能与大数据产教融合培养基地，与广轻控股产教融合共建工艺美术产业学院，牵头成立广东职业教育产教融合研究中心，建有1个省级产业学院、9个校级产业学院，推进“产业导师”人才计划，共建一流技术师范专业，探索促进教育链、人才链与产业链、创新链有机衔接的有效模式，不断拓展产教融合的深度、广度。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其二，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</w:rPr>
        <w:t>坚持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做强新工科、做特新师范、做优新文科、做大国际合作与社会服务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</w:rPr>
        <w:t>，聚焦广东双十产业集群和强芯铸魂重大战略，深化产教融合、校企合作，选择华为、广汽、广州数控、美的集团等广东链长企业合作建设产业学院，做强新工科；选择与网易等单位合作加强互联网+教育做特新师范；选择与广东省民族宗教研究院、广东省地方志办、南方网等单位合作做优新文科；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  <w:lang w:eastAsia="zh-CN"/>
        </w:rPr>
        <w:t>通过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</w:rPr>
        <w:t>加强工科与文科、艺术等学科的交叉与融合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  <w:lang w:eastAsia="zh-CN"/>
        </w:rPr>
        <w:t>，为培养高素质“工匠之师”提供广阔的发展平台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</w:rPr>
        <w:t>。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highlight w:val="none"/>
        </w:rPr>
        <w:t>其三，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进一步贯彻落实党中央、国务院关于全面深化教师队伍建设的决策部署和文件精神，落实立德树人根本任务，以高水平学科建设为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引领，打造职教研究南方高地，进一步完善职前职后一体化、“专本硕”纵向贯通、“校企校”横向协同的“工匠之师”培养体系，坚定不移培养卓越职教师资，为职业教育高质量发展提供有力的师资保障。</w:t>
      </w:r>
    </w:p>
    <w:p>
      <w:pPr>
        <w:spacing w:beforeLines="0" w:afterLines="0" w:line="560" w:lineRule="exact"/>
        <w:ind w:firstLine="640" w:firstLineChars="200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  <w:t>三、机制保障：以良好的引育服务助推教师成长进步</w:t>
      </w:r>
    </w:p>
    <w:p>
      <w:pPr>
        <w:spacing w:beforeLines="0" w:afterLines="0" w:line="560" w:lineRule="exact"/>
        <w:ind w:firstLine="645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党的十八大以来，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广东技术师范大学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闯出了一条可复制的职教师资特色培养新路径。在突出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技术+师范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办学特色，创新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工匠之师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培养模式的教师队伍建设道路上，学校坚定不移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培养职业教育高素质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双师型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职教师资，支撑职业教育高质量发展。通过实施人才强校战略，围绕职教师资培养，创新人才引进机制，创新职教师资教学科研成效评价机制，改革传统的教师激励模式，激发教师教学科研、参与改革的积极性和创造性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</w:rPr>
        <w:t>确立了</w:t>
      </w:r>
      <w:r>
        <w:rPr>
          <w:rFonts w:hint="default" w:ascii="Times New Roman" w:hAnsi="Times New Roman" w:eastAsia="仿宋_GB2312" w:cs="Times New Roman"/>
          <w:b/>
          <w:color w:val="000000"/>
          <w:sz w:val="32"/>
          <w:szCs w:val="32"/>
        </w:rPr>
        <w:t>“引进、培育、激励”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</w:rPr>
        <w:t>的三大培养</w:t>
      </w:r>
      <w:r>
        <w:rPr>
          <w:rFonts w:hint="default" w:ascii="Times New Roman" w:hAnsi="Times New Roman" w:eastAsia="仿宋_GB2312" w:cs="Times New Roman"/>
          <w:bCs w:val="0"/>
          <w:color w:val="auto"/>
          <w:sz w:val="32"/>
          <w:szCs w:val="32"/>
        </w:rPr>
        <w:t>机制</w:t>
      </w:r>
      <w:r>
        <w:rPr>
          <w:rFonts w:hint="default" w:ascii="Times New Roman" w:hAnsi="Times New Roman" w:eastAsia="仿宋_GB2312" w:cs="Times New Roman"/>
          <w:bCs w:val="0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lang w:val="en-US" w:eastAsia="zh-CN"/>
        </w:rPr>
        <w:t>不拘一格，汇聚天下英才而用之</w:t>
      </w:r>
      <w:r>
        <w:rPr>
          <w:rFonts w:hint="default" w:ascii="Times New Roman" w:hAnsi="Times New Roman" w:eastAsia="仿宋_GB2312" w:cs="Times New Roman"/>
          <w:bCs w:val="0"/>
          <w:color w:val="auto"/>
          <w:sz w:val="32"/>
          <w:szCs w:val="32"/>
        </w:rPr>
        <w:t>。</w:t>
      </w:r>
    </w:p>
    <w:p>
      <w:pPr>
        <w:spacing w:beforeLines="0" w:afterLines="0" w:line="560" w:lineRule="exact"/>
        <w:ind w:firstLine="642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  <w:t>（一）制定科学有效的人才引进办法。</w:t>
      </w:r>
      <w:r>
        <w:rPr>
          <w:rFonts w:hint="default" w:ascii="Times New Roman" w:hAnsi="Times New Roman" w:eastAsia="楷体_GB2312" w:cs="Times New Roman"/>
          <w:b/>
          <w:color w:val="auto"/>
          <w:sz w:val="32"/>
          <w:szCs w:val="32"/>
        </w:rPr>
        <w:t>一是健全人才体系。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实施“达之学者”计划，以优厚待遇面向境内外引进高层次人才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完善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骨干教授岗位和青年人才岗位等分类分层的人才体系，精准引进紧缺高层次人才和青年博士。人才体系的评价指标增加发明专利、学术著作以及省级优秀博士毕业生、企业高水平高技能人才等一系列参考指标，改变“唯论文”和“唯帽子”的单一评价指标。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</w:rPr>
        <w:t>二是人才引进机制有保障。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根据党管人才原则，学校成立由书记、校长担任组长的人才引进领导小组，制定学校人才工作的各项政策，对人才工作进行宏观指导、措施落实的督促检查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成立由校长担任组长的人才引进工作小组，不定期召开人才引进研判会议。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</w:rPr>
        <w:t>三是用心用情做好人才服务工作。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学校启动了高层次人才联动机制，每位高层次人才均有校领导对接。在引进的人才中不乏有教育部新世纪人才、广东省杰青、青年珠江学者、海外知名教授等人才，人才汇聚逐渐显现成效。</w:t>
      </w:r>
    </w:p>
    <w:p>
      <w:pPr>
        <w:spacing w:beforeLines="0" w:afterLines="0" w:line="560" w:lineRule="exact"/>
        <w:ind w:firstLine="642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  <w:t>（二）多措并举搭建平台培育职教教师队伍。</w:t>
      </w:r>
      <w:r>
        <w:rPr>
          <w:rFonts w:hint="default" w:ascii="Times New Roman" w:hAnsi="Times New Roman" w:eastAsia="楷体_GB2312" w:cs="Times New Roman"/>
          <w:b/>
          <w:color w:val="auto"/>
          <w:sz w:val="32"/>
          <w:szCs w:val="32"/>
        </w:rPr>
        <w:t>一是实施教师专业技能提升工程。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突破体制机制壁垒，构建“工匠之师”的多元协同联动机制，建立校政、校校、校企等多元化的协同育人路径。学校以国家职教教师教育创新实验区为依托，联合地方政府、本科院校、职业院校、行业企业等150多家单位，牵头组建了“粤港澳大湾区职业教育教师发展联盟”“广东省职教师资培养培训联盟”，建立协同育人共同体，推进“工匠之师”培养体系系统化、政校企育人协同化、职前培养和职后培训一体化，打造职教师资培养培训的“大湾区品牌”。</w:t>
      </w:r>
      <w:r>
        <w:rPr>
          <w:rFonts w:hint="default" w:ascii="Times New Roman" w:hAnsi="Times New Roman" w:eastAsia="仿宋_GB2312" w:cs="Times New Roman"/>
          <w:b/>
          <w:bCs w:val="0"/>
          <w:color w:val="auto"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仿宋_GB2312" w:cs="Times New Roman"/>
          <w:b/>
          <w:bCs w:val="0"/>
          <w:color w:val="auto"/>
          <w:sz w:val="32"/>
          <w:szCs w:val="32"/>
        </w:rPr>
        <w:t>是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</w:rPr>
        <w:t>打造专业核心知识课程群、职教师资通识课程群、职教师资核心课程群三类教学创新团队。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学校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以提升教师队伍教学水平为抓手，通过校校、校企、校政之间的双向互聘、挂职锻炼、协同教研、企业实践等方式，聘请企事业单位高技能人才、能工巧匠、非遗传承大师等兼职导师1000余名，构建了适应新时代培养“工匠之师”的师资体系。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</w:rPr>
        <w:t>三是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通过“教学团队+科研团队”方式促进资深教授与青年教师共同成长，凝聚职教师资教学与科研成果，打造精品课程与高水平学术成果。</w:t>
      </w:r>
    </w:p>
    <w:p>
      <w:pPr>
        <w:spacing w:beforeLines="0" w:afterLines="0" w:line="560" w:lineRule="exact"/>
        <w:ind w:firstLine="642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  <w:t>（三）创新完善人才发展机制激发教师动力。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</w:rPr>
        <w:t>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实施“教学名师”“青年英才”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人才特区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等引领工程，大力开展校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内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“达之学者”“达之青年学者”“教学名师”“青年英才”等遴选活动，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充分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发挥优秀人才的引领和榜样示范作用。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</w:rPr>
        <w:t>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建立了科学的教师分类评价机制，发挥人才评价的指挥棒作用。科学制定并落实实施各个系列的专业技术资格评审办法，重点依据学校办学定位和特色加入社会服务方面要求，要求教师有校企合作、产学研合作经历等，以树立正确用人导向、激励引导教师职业发展、调动教师积极性。制定了岗位设置与聘用管理办法，分类分层细化明确了聘期考核任务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进一步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激发学校教师干事创业热情，调动广大教师积极性。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积极稳妥实施绩效分配制度改革，教职工福利待遇稳步提升。实行“分类指导、贡献导向；多劳多得、优绩优酬；效益优先、兼顾公平；向教学科研一线倾斜”等原则，制定了绩效工资实施办法等，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充分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发挥绩效工资的激励导向作用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大大增强了教职工的幸福感、获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得感和归属感。</w:t>
      </w:r>
    </w:p>
    <w:sectPr>
      <w:footerReference r:id="rId3" w:type="default"/>
      <w:pgSz w:w="11906" w:h="16838"/>
      <w:pgMar w:top="2098" w:right="1474" w:bottom="1984" w:left="1587" w:header="851" w:footer="1587" w:gutter="0"/>
      <w:paperSrc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小标宋">
    <w:altName w:val="方正小标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FlMDNlZGFlOTAxODUwMDI1NzEwYWZmMWRkM2UxM2YifQ=="/>
  </w:docVars>
  <w:rsids>
    <w:rsidRoot w:val="00703317"/>
    <w:rsid w:val="0051657F"/>
    <w:rsid w:val="0059402E"/>
    <w:rsid w:val="006003F5"/>
    <w:rsid w:val="006648F9"/>
    <w:rsid w:val="00703317"/>
    <w:rsid w:val="00874FCF"/>
    <w:rsid w:val="009034B7"/>
    <w:rsid w:val="00B1486B"/>
    <w:rsid w:val="00B2667F"/>
    <w:rsid w:val="00C81902"/>
    <w:rsid w:val="00CC67D4"/>
    <w:rsid w:val="00D258B7"/>
    <w:rsid w:val="00DE17C3"/>
    <w:rsid w:val="00E645E7"/>
    <w:rsid w:val="00F532B1"/>
    <w:rsid w:val="00FA472F"/>
    <w:rsid w:val="01AA76DA"/>
    <w:rsid w:val="01D823B1"/>
    <w:rsid w:val="02063587"/>
    <w:rsid w:val="02266279"/>
    <w:rsid w:val="025E71E2"/>
    <w:rsid w:val="027C16B8"/>
    <w:rsid w:val="03A237A7"/>
    <w:rsid w:val="03B911F9"/>
    <w:rsid w:val="04477AA3"/>
    <w:rsid w:val="04D50BD6"/>
    <w:rsid w:val="04DB7527"/>
    <w:rsid w:val="04DD0AE2"/>
    <w:rsid w:val="057B7333"/>
    <w:rsid w:val="05E57574"/>
    <w:rsid w:val="06E42F65"/>
    <w:rsid w:val="07A82607"/>
    <w:rsid w:val="084A5DB4"/>
    <w:rsid w:val="0942118A"/>
    <w:rsid w:val="0ABE295E"/>
    <w:rsid w:val="0AF06C72"/>
    <w:rsid w:val="0AF507BD"/>
    <w:rsid w:val="0B1D330C"/>
    <w:rsid w:val="0B8B296C"/>
    <w:rsid w:val="0BAD401F"/>
    <w:rsid w:val="0BB270AC"/>
    <w:rsid w:val="0C8566FF"/>
    <w:rsid w:val="0CB11F5E"/>
    <w:rsid w:val="0D3E70E3"/>
    <w:rsid w:val="0DC255BA"/>
    <w:rsid w:val="0EDE2DB2"/>
    <w:rsid w:val="0FB6788B"/>
    <w:rsid w:val="10283F4C"/>
    <w:rsid w:val="102B64CB"/>
    <w:rsid w:val="105A46BB"/>
    <w:rsid w:val="10E943BC"/>
    <w:rsid w:val="11B8439F"/>
    <w:rsid w:val="11C50EEA"/>
    <w:rsid w:val="11EE5A02"/>
    <w:rsid w:val="12776933"/>
    <w:rsid w:val="13734436"/>
    <w:rsid w:val="138D072E"/>
    <w:rsid w:val="14847F58"/>
    <w:rsid w:val="14D62EA9"/>
    <w:rsid w:val="14EB7FD7"/>
    <w:rsid w:val="15C9656A"/>
    <w:rsid w:val="15D038D4"/>
    <w:rsid w:val="1663076D"/>
    <w:rsid w:val="16E01DBD"/>
    <w:rsid w:val="16E11692"/>
    <w:rsid w:val="17035AAC"/>
    <w:rsid w:val="175613C2"/>
    <w:rsid w:val="176C53FF"/>
    <w:rsid w:val="17B8504D"/>
    <w:rsid w:val="18055854"/>
    <w:rsid w:val="18D771F0"/>
    <w:rsid w:val="18FA4C8D"/>
    <w:rsid w:val="19B54B1C"/>
    <w:rsid w:val="19BC1F42"/>
    <w:rsid w:val="1B197D8B"/>
    <w:rsid w:val="1D206DCC"/>
    <w:rsid w:val="1DEF6D8A"/>
    <w:rsid w:val="1E032835"/>
    <w:rsid w:val="1E0C16EA"/>
    <w:rsid w:val="1EA803B3"/>
    <w:rsid w:val="1F3709E9"/>
    <w:rsid w:val="202820DF"/>
    <w:rsid w:val="2052260F"/>
    <w:rsid w:val="205C7FDB"/>
    <w:rsid w:val="2067508B"/>
    <w:rsid w:val="21E40EF4"/>
    <w:rsid w:val="221072CF"/>
    <w:rsid w:val="22A31EF1"/>
    <w:rsid w:val="22E5250A"/>
    <w:rsid w:val="22EF5136"/>
    <w:rsid w:val="22FD5AA5"/>
    <w:rsid w:val="233174FD"/>
    <w:rsid w:val="24561911"/>
    <w:rsid w:val="24D171E9"/>
    <w:rsid w:val="24D740D4"/>
    <w:rsid w:val="257F01AB"/>
    <w:rsid w:val="25844026"/>
    <w:rsid w:val="260D24A3"/>
    <w:rsid w:val="26C7420D"/>
    <w:rsid w:val="271909D4"/>
    <w:rsid w:val="27F21951"/>
    <w:rsid w:val="297C550F"/>
    <w:rsid w:val="29CE454C"/>
    <w:rsid w:val="2AC23077"/>
    <w:rsid w:val="2B7A1E7D"/>
    <w:rsid w:val="2BC139D3"/>
    <w:rsid w:val="2C4E2ECE"/>
    <w:rsid w:val="2CF73565"/>
    <w:rsid w:val="2DB631E5"/>
    <w:rsid w:val="2E36630F"/>
    <w:rsid w:val="312876F9"/>
    <w:rsid w:val="319A4D84"/>
    <w:rsid w:val="32036508"/>
    <w:rsid w:val="326C2300"/>
    <w:rsid w:val="32DB535F"/>
    <w:rsid w:val="34403A44"/>
    <w:rsid w:val="352B64A2"/>
    <w:rsid w:val="36834111"/>
    <w:rsid w:val="369E2CA4"/>
    <w:rsid w:val="36B54AC7"/>
    <w:rsid w:val="378E4AC6"/>
    <w:rsid w:val="3A345DF9"/>
    <w:rsid w:val="3A7601BF"/>
    <w:rsid w:val="3A773F37"/>
    <w:rsid w:val="3B765F9D"/>
    <w:rsid w:val="3C787481"/>
    <w:rsid w:val="3E490BCA"/>
    <w:rsid w:val="3E997FB8"/>
    <w:rsid w:val="40925E18"/>
    <w:rsid w:val="409A44DC"/>
    <w:rsid w:val="41BA5DCC"/>
    <w:rsid w:val="423C04A4"/>
    <w:rsid w:val="4338634B"/>
    <w:rsid w:val="4504453B"/>
    <w:rsid w:val="456015FF"/>
    <w:rsid w:val="457833E0"/>
    <w:rsid w:val="45D61B8B"/>
    <w:rsid w:val="45F11042"/>
    <w:rsid w:val="474F1077"/>
    <w:rsid w:val="480538DA"/>
    <w:rsid w:val="480D7C89"/>
    <w:rsid w:val="48A04884"/>
    <w:rsid w:val="48BF0B4D"/>
    <w:rsid w:val="48CF6534"/>
    <w:rsid w:val="49D071C0"/>
    <w:rsid w:val="49D34881"/>
    <w:rsid w:val="49EB27CF"/>
    <w:rsid w:val="4A396719"/>
    <w:rsid w:val="4B4734B2"/>
    <w:rsid w:val="4B6A7992"/>
    <w:rsid w:val="4BB24DCF"/>
    <w:rsid w:val="4C6A293D"/>
    <w:rsid w:val="4C787DBB"/>
    <w:rsid w:val="4DD454D1"/>
    <w:rsid w:val="4E4361B3"/>
    <w:rsid w:val="4EED3F2E"/>
    <w:rsid w:val="4F18763F"/>
    <w:rsid w:val="4F3557D2"/>
    <w:rsid w:val="4F390246"/>
    <w:rsid w:val="500E557E"/>
    <w:rsid w:val="503953D2"/>
    <w:rsid w:val="50484129"/>
    <w:rsid w:val="50E0418D"/>
    <w:rsid w:val="5156444F"/>
    <w:rsid w:val="52276AAD"/>
    <w:rsid w:val="522B1438"/>
    <w:rsid w:val="52BE1EAB"/>
    <w:rsid w:val="5337730C"/>
    <w:rsid w:val="539B1A34"/>
    <w:rsid w:val="54212AF2"/>
    <w:rsid w:val="542206A4"/>
    <w:rsid w:val="561843C9"/>
    <w:rsid w:val="56A66F22"/>
    <w:rsid w:val="56C74389"/>
    <w:rsid w:val="57F31980"/>
    <w:rsid w:val="58225A1C"/>
    <w:rsid w:val="595D004C"/>
    <w:rsid w:val="596972A9"/>
    <w:rsid w:val="59BE7035"/>
    <w:rsid w:val="5ABF4E13"/>
    <w:rsid w:val="5AD3266C"/>
    <w:rsid w:val="5BB31380"/>
    <w:rsid w:val="5BCF2BDE"/>
    <w:rsid w:val="5D0548C0"/>
    <w:rsid w:val="5D13037F"/>
    <w:rsid w:val="5D585499"/>
    <w:rsid w:val="5E1D6F42"/>
    <w:rsid w:val="5E3B0BF0"/>
    <w:rsid w:val="5F443B39"/>
    <w:rsid w:val="601E49C8"/>
    <w:rsid w:val="602C6B31"/>
    <w:rsid w:val="608C1C3B"/>
    <w:rsid w:val="60B24AAB"/>
    <w:rsid w:val="61532759"/>
    <w:rsid w:val="629E217A"/>
    <w:rsid w:val="63927568"/>
    <w:rsid w:val="63A67EE3"/>
    <w:rsid w:val="659E6714"/>
    <w:rsid w:val="65E168ED"/>
    <w:rsid w:val="65F21201"/>
    <w:rsid w:val="665C3E5E"/>
    <w:rsid w:val="678418BE"/>
    <w:rsid w:val="68AA7AA8"/>
    <w:rsid w:val="68D128E1"/>
    <w:rsid w:val="68ED5E8C"/>
    <w:rsid w:val="69366BE8"/>
    <w:rsid w:val="69A173E4"/>
    <w:rsid w:val="69E324BE"/>
    <w:rsid w:val="6B39680E"/>
    <w:rsid w:val="6B4E0638"/>
    <w:rsid w:val="6B514775"/>
    <w:rsid w:val="6C506213"/>
    <w:rsid w:val="6DF11997"/>
    <w:rsid w:val="6DF4699A"/>
    <w:rsid w:val="6E26174C"/>
    <w:rsid w:val="6E49116B"/>
    <w:rsid w:val="6E600263"/>
    <w:rsid w:val="6EF8538C"/>
    <w:rsid w:val="6F6903BF"/>
    <w:rsid w:val="6FCA008A"/>
    <w:rsid w:val="722234E2"/>
    <w:rsid w:val="725D01F5"/>
    <w:rsid w:val="73332E43"/>
    <w:rsid w:val="73EC6B8A"/>
    <w:rsid w:val="74676611"/>
    <w:rsid w:val="757A60AE"/>
    <w:rsid w:val="759D5869"/>
    <w:rsid w:val="75A924F0"/>
    <w:rsid w:val="75ED0372"/>
    <w:rsid w:val="767E397C"/>
    <w:rsid w:val="77505319"/>
    <w:rsid w:val="782F5D73"/>
    <w:rsid w:val="785204E1"/>
    <w:rsid w:val="79F83013"/>
    <w:rsid w:val="7A0D129F"/>
    <w:rsid w:val="7A8D230E"/>
    <w:rsid w:val="7ACE4ED2"/>
    <w:rsid w:val="7BB034F4"/>
    <w:rsid w:val="7BEE277B"/>
    <w:rsid w:val="7C946C56"/>
    <w:rsid w:val="7CA37C99"/>
    <w:rsid w:val="7EAA3118"/>
    <w:rsid w:val="AFBB5D52"/>
    <w:rsid w:val="DA8BEC04"/>
    <w:rsid w:val="EF9E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24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0"/>
    <w:pPr>
      <w:spacing w:before="120"/>
    </w:pPr>
    <w:rPr>
      <w:rFonts w:ascii="Arial" w:hAnsi="Arial" w:cs="Arial"/>
    </w:r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FollowedHyperlink"/>
    <w:basedOn w:val="9"/>
    <w:qFormat/>
    <w:uiPriority w:val="0"/>
    <w:rPr>
      <w:color w:val="800080"/>
      <w:u w:val="none"/>
    </w:rPr>
  </w:style>
  <w:style w:type="character" w:styleId="12">
    <w:name w:val="Hyperlink"/>
    <w:basedOn w:val="9"/>
    <w:qFormat/>
    <w:uiPriority w:val="0"/>
    <w:rPr>
      <w:color w:val="0000FF"/>
      <w:u w:val="none"/>
    </w:rPr>
  </w:style>
  <w:style w:type="character" w:customStyle="1" w:styleId="13">
    <w:name w:val="post_wemedia_info1"/>
    <w:basedOn w:val="9"/>
    <w:qFormat/>
    <w:uiPriority w:val="0"/>
  </w:style>
  <w:style w:type="character" w:customStyle="1" w:styleId="14">
    <w:name w:val="批注框文本 Char"/>
    <w:basedOn w:val="9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5">
    <w:name w:val="页眉 Char"/>
    <w:basedOn w:val="9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6">
    <w:name w:val="页脚 Char"/>
    <w:basedOn w:val="9"/>
    <w:link w:val="5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4920</Words>
  <Characters>4962</Characters>
  <Lines>147</Lines>
  <Paragraphs>27</Paragraphs>
  <TotalTime>6</TotalTime>
  <ScaleCrop>false</ScaleCrop>
  <LinksUpToDate>false</LinksUpToDate>
  <CharactersWithSpaces>4970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2022-11-18T09:18:00Z</dcterms:created>
  <dc:creator>尹老师</dc:creator>
  <cp:lastModifiedBy>ht706</cp:lastModifiedBy>
  <cp:lastPrinted>2022-11-17T14:26:00Z</cp:lastPrinted>
  <dcterms:modified xsi:type="dcterms:W3CDTF">2022-11-29T09:43:21Z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EBDE2B607748424993016BE77BDD06E0</vt:lpwstr>
  </property>
</Properties>
</file>