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jc w:val="center"/>
        <w:rPr>
          <w:rFonts w:hint="eastAsia" w:ascii="黑体" w:hAnsi="黑体" w:eastAsia="黑体" w:cs="宋体"/>
          <w:sz w:val="44"/>
          <w:szCs w:val="44"/>
        </w:rPr>
      </w:pPr>
      <w:r>
        <w:rPr>
          <w:rFonts w:hint="eastAsia" w:ascii="黑体" w:hAnsi="黑体" w:eastAsia="黑体" w:cs="宋体"/>
          <w:sz w:val="44"/>
          <w:szCs w:val="44"/>
        </w:rPr>
        <w:t>师德为先，引育并举，打好量质齐升“组合拳”——陕西财经职业技术学院教师队伍建设工作案例</w:t>
      </w:r>
      <w:bookmarkStart w:id="1" w:name="_GoBack"/>
      <w:bookmarkEnd w:id="1"/>
    </w:p>
    <w:p>
      <w:pPr>
        <w:spacing w:line="560" w:lineRule="exact"/>
        <w:ind w:left="-141" w:leftChars="-67" w:firstLine="64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近年来</w:t>
      </w:r>
      <w:r>
        <w:rPr>
          <w:rFonts w:ascii="仿宋" w:hAnsi="仿宋" w:eastAsia="仿宋" w:cs="宋体"/>
          <w:bCs/>
          <w:sz w:val="32"/>
          <w:szCs w:val="32"/>
        </w:rPr>
        <w:t>，</w:t>
      </w:r>
      <w:r>
        <w:rPr>
          <w:rFonts w:hint="eastAsia" w:ascii="仿宋" w:hAnsi="仿宋" w:eastAsia="仿宋" w:cs="宋体"/>
          <w:bCs/>
          <w:sz w:val="32"/>
          <w:szCs w:val="32"/>
        </w:rPr>
        <w:t>陕西</w:t>
      </w:r>
      <w:r>
        <w:rPr>
          <w:rFonts w:ascii="仿宋" w:hAnsi="仿宋" w:eastAsia="仿宋" w:cs="宋体"/>
          <w:bCs/>
          <w:sz w:val="32"/>
          <w:szCs w:val="32"/>
        </w:rPr>
        <w:t>财经职业技术学院</w:t>
      </w:r>
      <w:r>
        <w:rPr>
          <w:rFonts w:hint="eastAsia" w:ascii="仿宋" w:hAnsi="仿宋" w:eastAsia="仿宋" w:cs="宋体"/>
          <w:bCs/>
          <w:sz w:val="32"/>
          <w:szCs w:val="32"/>
        </w:rPr>
        <w:t>以</w:t>
      </w:r>
      <w:r>
        <w:rPr>
          <w:rFonts w:ascii="仿宋" w:hAnsi="仿宋" w:eastAsia="仿宋" w:cs="宋体"/>
          <w:bCs/>
          <w:sz w:val="32"/>
          <w:szCs w:val="32"/>
        </w:rPr>
        <w:t>“</w:t>
      </w:r>
      <w:r>
        <w:rPr>
          <w:rFonts w:hint="eastAsia" w:ascii="仿宋" w:hAnsi="仿宋" w:eastAsia="仿宋" w:cs="宋体"/>
          <w:bCs/>
          <w:sz w:val="32"/>
          <w:szCs w:val="32"/>
        </w:rPr>
        <w:t>双</w:t>
      </w:r>
      <w:r>
        <w:rPr>
          <w:rFonts w:ascii="仿宋" w:hAnsi="仿宋" w:eastAsia="仿宋" w:cs="宋体"/>
          <w:bCs/>
          <w:sz w:val="32"/>
          <w:szCs w:val="32"/>
        </w:rPr>
        <w:t>高”</w:t>
      </w:r>
      <w:r>
        <w:rPr>
          <w:rFonts w:hint="eastAsia" w:ascii="仿宋" w:hAnsi="仿宋" w:eastAsia="仿宋" w:cs="宋体"/>
          <w:bCs/>
          <w:sz w:val="32"/>
          <w:szCs w:val="32"/>
        </w:rPr>
        <w:t>建设</w:t>
      </w:r>
      <w:r>
        <w:rPr>
          <w:rFonts w:ascii="仿宋" w:hAnsi="仿宋" w:eastAsia="仿宋" w:cs="宋体"/>
          <w:bCs/>
          <w:sz w:val="32"/>
          <w:szCs w:val="32"/>
        </w:rPr>
        <w:t>为契机，</w:t>
      </w:r>
      <w:r>
        <w:rPr>
          <w:rFonts w:hint="eastAsia" w:ascii="仿宋" w:hAnsi="仿宋" w:eastAsia="仿宋" w:cs="宋体"/>
          <w:bCs/>
          <w:sz w:val="32"/>
          <w:szCs w:val="32"/>
        </w:rPr>
        <w:t>坚持人才强校战略，坚持</w:t>
      </w:r>
      <w:r>
        <w:rPr>
          <w:rFonts w:ascii="仿宋" w:hAnsi="仿宋" w:eastAsia="仿宋" w:cs="宋体"/>
          <w:bCs/>
          <w:sz w:val="32"/>
          <w:szCs w:val="32"/>
        </w:rPr>
        <w:t>内培外引，</w:t>
      </w:r>
      <w:r>
        <w:rPr>
          <w:rFonts w:hint="eastAsia" w:ascii="仿宋" w:hAnsi="仿宋" w:eastAsia="仿宋" w:cs="宋体"/>
          <w:bCs/>
          <w:sz w:val="32"/>
          <w:szCs w:val="32"/>
        </w:rPr>
        <w:t>对标</w:t>
      </w:r>
      <w:r>
        <w:rPr>
          <w:rFonts w:ascii="仿宋" w:hAnsi="仿宋" w:eastAsia="仿宋" w:cs="宋体"/>
          <w:bCs/>
          <w:sz w:val="32"/>
          <w:szCs w:val="32"/>
        </w:rPr>
        <w:t>“</w:t>
      </w:r>
      <w:r>
        <w:rPr>
          <w:rFonts w:hint="eastAsia" w:ascii="仿宋" w:hAnsi="仿宋" w:eastAsia="仿宋" w:cs="宋体"/>
          <w:bCs/>
          <w:sz w:val="32"/>
          <w:szCs w:val="32"/>
        </w:rPr>
        <w:t>四有</w:t>
      </w:r>
      <w:r>
        <w:rPr>
          <w:rFonts w:ascii="仿宋" w:hAnsi="仿宋" w:eastAsia="仿宋" w:cs="宋体"/>
          <w:bCs/>
          <w:sz w:val="32"/>
          <w:szCs w:val="32"/>
        </w:rPr>
        <w:t>”</w:t>
      </w:r>
      <w:r>
        <w:rPr>
          <w:rFonts w:hint="eastAsia" w:ascii="仿宋" w:hAnsi="仿宋" w:eastAsia="仿宋" w:cs="宋体"/>
          <w:bCs/>
          <w:sz w:val="32"/>
          <w:szCs w:val="32"/>
        </w:rPr>
        <w:t>标准，通过加强</w:t>
      </w:r>
      <w:r>
        <w:rPr>
          <w:rFonts w:ascii="仿宋" w:hAnsi="仿宋" w:eastAsia="仿宋" w:cs="宋体"/>
          <w:bCs/>
          <w:sz w:val="32"/>
          <w:szCs w:val="32"/>
        </w:rPr>
        <w:t>师德师风建设、</w:t>
      </w:r>
      <w:r>
        <w:rPr>
          <w:rFonts w:hint="eastAsia" w:ascii="仿宋" w:hAnsi="仿宋" w:eastAsia="仿宋" w:cs="宋体"/>
          <w:bCs/>
          <w:sz w:val="32"/>
          <w:szCs w:val="32"/>
        </w:rPr>
        <w:t>实施高水平高技能人才引培计划、构建教师分类分层培养培训体系、构建专兼结合校企双向流动机制、打造教师发展四大平台、深化人事制度改革等措施，不断完善教师培养机制，教师队伍师德师风、教学能力、科研能力和社会服务能力显著提升，逐步形成了一支师德高尚、结构合理、业务精湛、专兼结合具有国际化视野的高水平教师队伍。</w:t>
      </w:r>
    </w:p>
    <w:p>
      <w:pPr>
        <w:ind w:firstLine="643" w:firstLineChars="200"/>
        <w:rPr>
          <w:rFonts w:ascii="仿宋" w:hAnsi="仿宋" w:eastAsia="仿宋" w:cs="宋体"/>
          <w:b/>
          <w:bCs/>
          <w:sz w:val="32"/>
          <w:szCs w:val="32"/>
        </w:rPr>
      </w:pPr>
      <w:r>
        <w:rPr>
          <w:rFonts w:hint="eastAsia" w:ascii="仿宋" w:hAnsi="仿宋" w:eastAsia="仿宋" w:cs="宋体"/>
          <w:b/>
          <w:sz w:val="32"/>
          <w:szCs w:val="32"/>
        </w:rPr>
        <w:t>一、</w:t>
      </w:r>
      <w:r>
        <w:rPr>
          <w:rFonts w:hint="eastAsia" w:ascii="仿宋" w:hAnsi="仿宋" w:eastAsia="仿宋"/>
          <w:b/>
          <w:sz w:val="32"/>
          <w:szCs w:val="32"/>
        </w:rPr>
        <w:t>坚持</w:t>
      </w:r>
      <w:r>
        <w:rPr>
          <w:rFonts w:ascii="仿宋" w:hAnsi="仿宋" w:eastAsia="仿宋"/>
          <w:b/>
          <w:sz w:val="32"/>
          <w:szCs w:val="32"/>
        </w:rPr>
        <w:t>师德</w:t>
      </w:r>
      <w:r>
        <w:rPr>
          <w:rFonts w:hint="eastAsia" w:ascii="仿宋" w:hAnsi="仿宋" w:eastAsia="仿宋"/>
          <w:b/>
          <w:sz w:val="32"/>
          <w:szCs w:val="32"/>
        </w:rPr>
        <w:t>师风</w:t>
      </w:r>
      <w:r>
        <w:rPr>
          <w:rFonts w:ascii="仿宋" w:hAnsi="仿宋" w:eastAsia="仿宋"/>
          <w:b/>
          <w:sz w:val="32"/>
          <w:szCs w:val="32"/>
        </w:rPr>
        <w:t>第一标准</w:t>
      </w:r>
    </w:p>
    <w:p>
      <w:pPr>
        <w:spacing w:line="560" w:lineRule="exact"/>
        <w:ind w:firstLine="64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学院坚持把师德师风作为评价教师队伍素质的第一标准，激励广大教师争做“四有好老师”，当好“四个引路人”，坚守“四个相统一”。一是实施师德师风建设方案。实施学校《关于加强和改进新时代师德师风建设的实施方案》《师德师风建设三年行动计划实施方案》，将师德师风教育、正面宣传引导和失德违纪惩处贯穿师德师风建设始终。二是建立师德师风考核指标体系。建立师德师风年度考核机制，将师德师风考核体系纳入到教师个人目标考核中，将考核结果与职称晋升、推优评先、表彰奖励、科研和人才项目申请等相挂钩。同时，将师德师风考核纳入到部门目标责任考核中。三是加强师德师风宣传教育。通过“师德标兵”“优秀教师”“教书育人楷模”等先进评选工作，通过尊师第一课、9月尊师主题月、师德师风专栏、光荣榜及网络宣传等活动，选树典型，弘扬师德楷模。四是组织师德师风专题培训。实施在职教师每学年必须参加师德师风专题教育计划，重视青年教师、海外归国教师、高层次人才的教育培训指导。五是实行师德失范行为“一票否决”制。建立师德师风负面清单，对于在师德师风中违反相关规定的，在招聘引进、职务晋升、职称评定、推优评先等环节坚决实行“一票否决”。</w:t>
      </w:r>
    </w:p>
    <w:p>
      <w:pPr>
        <w:spacing w:line="560" w:lineRule="exact"/>
        <w:ind w:firstLine="630" w:firstLineChars="300"/>
        <w:rPr>
          <w:rFonts w:ascii="仿宋" w:hAnsi="仿宋" w:eastAsia="仿宋"/>
          <w:sz w:val="32"/>
          <w:szCs w:val="32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2250440</wp:posOffset>
            </wp:positionV>
            <wp:extent cx="4829175" cy="2676525"/>
            <wp:effectExtent l="0" t="0" r="9525" b="9525"/>
            <wp:wrapTopAndBottom/>
            <wp:docPr id="3687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78" name="图片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27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sz w:val="32"/>
          <w:szCs w:val="32"/>
        </w:rPr>
        <w:t>通过</w:t>
      </w:r>
      <w:r>
        <w:rPr>
          <w:rFonts w:ascii="仿宋" w:hAnsi="仿宋" w:eastAsia="仿宋"/>
          <w:sz w:val="32"/>
          <w:szCs w:val="32"/>
        </w:rPr>
        <w:t>建设，教师</w:t>
      </w:r>
      <w:r>
        <w:rPr>
          <w:rFonts w:hint="eastAsia" w:ascii="仿宋" w:hAnsi="仿宋" w:eastAsia="仿宋"/>
          <w:sz w:val="32"/>
          <w:szCs w:val="32"/>
        </w:rPr>
        <w:t>师德师风、</w:t>
      </w:r>
      <w:r>
        <w:rPr>
          <w:rFonts w:ascii="仿宋" w:hAnsi="仿宋" w:eastAsia="仿宋"/>
          <w:sz w:val="32"/>
          <w:szCs w:val="32"/>
        </w:rPr>
        <w:t>教学和科研能力持续提升，</w:t>
      </w:r>
      <w:r>
        <w:rPr>
          <w:rFonts w:hint="eastAsia" w:ascii="仿宋" w:hAnsi="仿宋" w:eastAsia="仿宋"/>
          <w:sz w:val="32"/>
          <w:szCs w:val="32"/>
        </w:rPr>
        <w:t>学校先后涌现出了“全国劳动模范”“全国优秀共青团干部”“陕西省五一劳动奖章获得者”“全省高等教育优秀管理者”“陕西省青年杰出人才”“陕西好人”“陕西师德先进个人”等一大批师德高尚、业务精湛的优秀教师。2022年</w:t>
      </w:r>
      <w:r>
        <w:rPr>
          <w:rFonts w:ascii="仿宋" w:hAnsi="仿宋" w:eastAsia="仿宋"/>
          <w:sz w:val="32"/>
          <w:szCs w:val="32"/>
        </w:rPr>
        <w:t>，</w:t>
      </w:r>
      <w:r>
        <w:rPr>
          <w:rFonts w:hint="eastAsia" w:ascii="仿宋" w:hAnsi="仿宋" w:eastAsia="仿宋"/>
          <w:sz w:val="32"/>
          <w:szCs w:val="32"/>
        </w:rPr>
        <w:t>数字商务学院获得省级</w:t>
      </w:r>
      <w:r>
        <w:rPr>
          <w:rFonts w:ascii="仿宋" w:hAnsi="仿宋" w:eastAsia="仿宋"/>
          <w:sz w:val="32"/>
          <w:szCs w:val="32"/>
        </w:rPr>
        <w:t>师德示范建设团队称号。</w:t>
      </w:r>
    </w:p>
    <w:p>
      <w:pPr>
        <w:spacing w:line="560" w:lineRule="exact"/>
        <w:jc w:val="center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商学院</w:t>
      </w:r>
      <w:r>
        <w:rPr>
          <w:rFonts w:ascii="仿宋" w:hAnsi="仿宋" w:eastAsia="仿宋"/>
          <w:sz w:val="24"/>
          <w:szCs w:val="24"/>
        </w:rPr>
        <w:t>获得</w:t>
      </w:r>
      <w:r>
        <w:rPr>
          <w:rFonts w:hint="eastAsia" w:ascii="仿宋" w:hAnsi="仿宋" w:eastAsia="仿宋"/>
          <w:sz w:val="24"/>
          <w:szCs w:val="24"/>
        </w:rPr>
        <w:t>2022年“陕西省</w:t>
      </w:r>
      <w:r>
        <w:rPr>
          <w:rFonts w:ascii="仿宋" w:hAnsi="仿宋" w:eastAsia="仿宋"/>
          <w:sz w:val="24"/>
          <w:szCs w:val="24"/>
        </w:rPr>
        <w:t>师德建设示范团队</w:t>
      </w:r>
      <w:r>
        <w:rPr>
          <w:rFonts w:hint="eastAsia" w:ascii="仿宋" w:hAnsi="仿宋" w:eastAsia="仿宋"/>
          <w:sz w:val="24"/>
          <w:szCs w:val="24"/>
        </w:rPr>
        <w:t>”称号</w:t>
      </w:r>
    </w:p>
    <w:p>
      <w:pPr>
        <w:spacing w:line="560" w:lineRule="exact"/>
        <w:ind w:firstLine="643" w:firstLineChars="200"/>
        <w:rPr>
          <w:rFonts w:ascii="仿宋" w:hAnsi="仿宋" w:eastAsia="仿宋" w:cs="宋体"/>
          <w:b/>
          <w:sz w:val="32"/>
          <w:szCs w:val="32"/>
        </w:rPr>
      </w:pPr>
      <w:r>
        <w:rPr>
          <w:rFonts w:hint="eastAsia" w:ascii="仿宋" w:hAnsi="仿宋" w:eastAsia="仿宋" w:cs="宋体"/>
          <w:b/>
          <w:sz w:val="32"/>
          <w:szCs w:val="32"/>
        </w:rPr>
        <w:t>二</w:t>
      </w:r>
      <w:r>
        <w:rPr>
          <w:rFonts w:ascii="仿宋" w:hAnsi="仿宋" w:eastAsia="仿宋" w:cs="宋体"/>
          <w:b/>
          <w:sz w:val="32"/>
          <w:szCs w:val="32"/>
        </w:rPr>
        <w:t>、</w:t>
      </w:r>
      <w:r>
        <w:rPr>
          <w:rFonts w:hint="eastAsia" w:ascii="仿宋" w:hAnsi="仿宋" w:eastAsia="仿宋" w:cs="宋体"/>
          <w:b/>
          <w:bCs/>
          <w:sz w:val="32"/>
          <w:szCs w:val="32"/>
        </w:rPr>
        <w:t>实施高水平高技能人才引培计划</w:t>
      </w:r>
    </w:p>
    <w:p>
      <w:pPr>
        <w:spacing w:line="560" w:lineRule="exact"/>
        <w:ind w:firstLine="640" w:firstLineChars="200"/>
        <w:rPr>
          <w:rFonts w:ascii="仿宋" w:hAnsi="仿宋" w:eastAsia="仿宋"/>
          <w:sz w:val="32"/>
          <w:szCs w:val="32"/>
        </w:rPr>
      </w:pPr>
      <w:bookmarkStart w:id="0" w:name="_Toc78146627"/>
      <w:r>
        <w:rPr>
          <w:rFonts w:hint="eastAsia" w:ascii="仿宋" w:hAnsi="仿宋" w:eastAsia="仿宋"/>
          <w:sz w:val="32"/>
          <w:szCs w:val="32"/>
        </w:rPr>
        <w:t>一是实施高水平人才引进计划。根据学校事业发展规划及专业建设规划需要，完善《高层次人才引进管理办法》等管理制度，持续引进教授、博士等高层次人才，着力加大在企业精英、大秦工匠等高水平行业领军人物的引进力度，聘任大型国企和跨国企业中财务专家或企业财务总监、商贸流通行业企业领军人才。加强教学团队建设、科学研究、成果转化等方面创新改革。二是实施内部人才培养提升计划。坚持实施《教职工攻读博士学位暂行管理办法》，鼓励支持在职教师提升学历学位。通过《塞浦路斯欧洲大学博士项目》，每年遴选支持10名教师攻读博士学位。开展教师国际汉语培训、雅思培训，提升教师双语教学能力。同时积极与一带一路沿线国家知名大学合作，努力为教师攻读博士创造条件。三是实施高技能人才柔性引进计划。建立柔性引进人才管理办法，制定引进待遇和目标任务。针对专业建设、专项技能、专门项目等方面，通过项目委托、定期讲学、短期服务、合作研究等形式，每年柔性引进在全国有影响力的职业教育专家、技能大师、非遗传承人、产业教授等企业、行业和产业高技术技能等领军人才。</w:t>
      </w:r>
    </w:p>
    <w:bookmarkEnd w:id="0"/>
    <w:p>
      <w:pPr>
        <w:spacing w:line="560" w:lineRule="exact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 w:cs="仿宋_GB2312"/>
          <w:sz w:val="32"/>
          <w:szCs w:val="32"/>
          <w:lang w:bidi="zh-CN"/>
        </w:rPr>
        <w:t>2020年至今先后引进3名教授、博士、1名中国工艺美术大师。引进的付世秋教授为学校一举成功申报学前教育专业，引进的王双明教授带领师生在第八届中国国际“互联网+”大学生创新创业大赛上获省赛金奖，大数据专业被全国高校人工智能与大数据创新联盟授予“最具发展潜力和创新力高校奖”。引进的贺兴文大师工作室的麦秆画琳琅满目、栩栩如生，以独特的视角诠释新时代的文化自信，建成省级技能大师工作室、陕西省“非遗”产学研基地、陕西省工艺美术行业培训基地、中华优秀传统文化传承基地、关中麦秆画非遗科普基地和中国工艺美术大师传承创新基地。引进</w:t>
      </w:r>
      <w:r>
        <w:rPr>
          <w:rFonts w:ascii="仿宋" w:hAnsi="仿宋" w:eastAsia="仿宋" w:cs="仿宋_GB2312"/>
          <w:sz w:val="32"/>
          <w:szCs w:val="32"/>
          <w:lang w:bidi="zh-CN"/>
        </w:rPr>
        <w:t>的教师</w:t>
      </w:r>
      <w:r>
        <w:rPr>
          <w:rFonts w:hint="eastAsia" w:ascii="仿宋" w:hAnsi="仿宋" w:eastAsia="仿宋"/>
          <w:sz w:val="32"/>
          <w:szCs w:val="32"/>
        </w:rPr>
        <w:t>在全国“大数据技术与应用”“市场营销”“银行业务综合技能”“数字创意教学”等各项技能大赛中带领学生屡获佳绩，招聘成果带动人才培养质量提升成效显著。</w:t>
      </w:r>
    </w:p>
    <w:p>
      <w:pPr>
        <w:spacing w:line="560" w:lineRule="exact"/>
        <w:ind w:firstLine="480" w:firstLineChars="200"/>
        <w:rPr>
          <w:rFonts w:ascii="仿宋" w:hAnsi="仿宋" w:eastAsia="仿宋" w:cs="仿宋"/>
          <w:sz w:val="32"/>
          <w:szCs w:val="32"/>
        </w:rPr>
      </w:pPr>
      <w:r>
        <w:rPr>
          <w:rFonts w:ascii="仿宋" w:hAnsi="仿宋" w:eastAsia="仿宋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95250</wp:posOffset>
            </wp:positionH>
            <wp:positionV relativeFrom="paragraph">
              <wp:posOffset>2609850</wp:posOffset>
            </wp:positionV>
            <wp:extent cx="5143500" cy="2838450"/>
            <wp:effectExtent l="0" t="0" r="0" b="0"/>
            <wp:wrapTopAndBottom/>
            <wp:docPr id="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宋体"/>
          <w:bCs/>
          <w:sz w:val="32"/>
          <w:szCs w:val="32"/>
        </w:rPr>
        <w:t>2021年招聘的24位教师70%以上有三年以上工作经验：空乘教师有3－8年飞行经验、大数据与人工智能学院大部分专业课教师都来自企业。</w:t>
      </w:r>
      <w:r>
        <w:rPr>
          <w:rFonts w:hint="eastAsia" w:ascii="仿宋" w:hAnsi="仿宋" w:eastAsia="仿宋" w:cs="仿宋"/>
          <w:sz w:val="32"/>
          <w:szCs w:val="32"/>
        </w:rPr>
        <w:t>学院通过柔性引进方式引入学前教育、医学等多名教授、博士担任专业带头人，同时，根据</w:t>
      </w:r>
      <w:r>
        <w:rPr>
          <w:rFonts w:ascii="仿宋" w:hAnsi="仿宋" w:eastAsia="仿宋" w:cs="仿宋"/>
          <w:sz w:val="32"/>
          <w:szCs w:val="32"/>
        </w:rPr>
        <w:t>学院工艺美术品设计专业建设需求，</w:t>
      </w:r>
      <w:r>
        <w:rPr>
          <w:rFonts w:hint="eastAsia" w:ascii="仿宋" w:hAnsi="仿宋" w:eastAsia="仿宋" w:cs="仿宋"/>
          <w:sz w:val="32"/>
          <w:szCs w:val="32"/>
        </w:rPr>
        <w:t>聘请陶艺大师对</w:t>
      </w:r>
      <w:r>
        <w:rPr>
          <w:rFonts w:ascii="仿宋" w:hAnsi="仿宋" w:eastAsia="仿宋" w:cs="仿宋"/>
          <w:sz w:val="32"/>
          <w:szCs w:val="32"/>
        </w:rPr>
        <w:t>工艺美术品设计</w:t>
      </w:r>
      <w:r>
        <w:rPr>
          <w:rFonts w:hint="eastAsia" w:ascii="仿宋" w:hAnsi="仿宋" w:eastAsia="仿宋" w:cs="仿宋"/>
          <w:sz w:val="32"/>
          <w:szCs w:val="32"/>
        </w:rPr>
        <w:t>专业进行指导，不断注入新的血液，充分发挥了名师引领作用，带动新兴专业的发展。</w:t>
      </w:r>
    </w:p>
    <w:p>
      <w:pPr>
        <w:spacing w:line="560" w:lineRule="exact"/>
        <w:ind w:firstLine="420" w:firstLineChars="200"/>
        <w:jc w:val="center"/>
        <w:rPr>
          <w:rFonts w:ascii="仿宋" w:hAnsi="仿宋" w:eastAsia="仿宋" w:cs="仿宋_GB2312"/>
          <w:sz w:val="32"/>
          <w:szCs w:val="32"/>
          <w:lang w:bidi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704850</wp:posOffset>
            </wp:positionV>
            <wp:extent cx="5153025" cy="2571115"/>
            <wp:effectExtent l="0" t="0" r="9525" b="635"/>
            <wp:wrapTopAndBottom/>
            <wp:docPr id="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2571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  <w:t>建成省级技能大师工作室、陕西省“非遗”产学研等多个基地</w:t>
      </w:r>
    </w:p>
    <w:p>
      <w:pPr>
        <w:spacing w:line="560" w:lineRule="exact"/>
        <w:jc w:val="center"/>
        <w:rPr>
          <w:rFonts w:ascii="仿宋" w:hAnsi="仿宋" w:eastAsia="仿宋"/>
          <w:sz w:val="24"/>
          <w:szCs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3381375</wp:posOffset>
            </wp:positionV>
            <wp:extent cx="5524500" cy="4362450"/>
            <wp:effectExtent l="0" t="0" r="0" b="0"/>
            <wp:wrapTopAndBottom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sz w:val="24"/>
          <w:szCs w:val="24"/>
        </w:rPr>
        <w:t>成功</w:t>
      </w:r>
      <w:r>
        <w:rPr>
          <w:rFonts w:ascii="仿宋" w:hAnsi="仿宋" w:eastAsia="仿宋"/>
          <w:sz w:val="24"/>
          <w:szCs w:val="24"/>
        </w:rPr>
        <w:t>申报</w:t>
      </w:r>
      <w:r>
        <w:rPr>
          <w:rFonts w:hint="eastAsia" w:ascii="仿宋" w:hAnsi="仿宋" w:eastAsia="仿宋"/>
          <w:sz w:val="24"/>
          <w:szCs w:val="24"/>
        </w:rPr>
        <w:t>国控学前教育</w:t>
      </w:r>
      <w:r>
        <w:rPr>
          <w:rFonts w:ascii="仿宋" w:hAnsi="仿宋" w:eastAsia="仿宋"/>
          <w:sz w:val="24"/>
          <w:szCs w:val="24"/>
        </w:rPr>
        <w:t>专业</w:t>
      </w:r>
    </w:p>
    <w:p>
      <w:pPr>
        <w:spacing w:line="560" w:lineRule="exact"/>
        <w:jc w:val="center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鼓励</w:t>
      </w:r>
      <w:r>
        <w:rPr>
          <w:rFonts w:ascii="仿宋" w:hAnsi="仿宋" w:eastAsia="仿宋"/>
          <w:sz w:val="24"/>
          <w:szCs w:val="24"/>
        </w:rPr>
        <w:t>教师攻读博士学位</w:t>
      </w:r>
    </w:p>
    <w:p>
      <w:pPr>
        <w:spacing w:line="560" w:lineRule="exact"/>
        <w:rPr>
          <w:rFonts w:ascii="仿宋" w:hAnsi="仿宋" w:eastAsia="仿宋"/>
          <w:sz w:val="24"/>
          <w:szCs w:val="24"/>
        </w:rPr>
      </w:pPr>
    </w:p>
    <w:p>
      <w:pPr>
        <w:spacing w:line="560" w:lineRule="exact"/>
        <w:jc w:val="center"/>
        <w:rPr>
          <w:rFonts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142875</wp:posOffset>
            </wp:positionV>
            <wp:extent cx="5267325" cy="3190875"/>
            <wp:effectExtent l="0" t="0" r="9525" b="9525"/>
            <wp:wrapTopAndBottom/>
            <wp:docPr id="1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  <w:t>获批第五批</w:t>
      </w:r>
      <w:r>
        <w:rPr>
          <w:rFonts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  <w:t>中国轻工业联合会</w:t>
      </w:r>
      <w:r>
        <w:rPr>
          <w:rFonts w:hint="eastAsia"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  <w:t>轻工业</w:t>
      </w:r>
      <w:r>
        <w:rPr>
          <w:rFonts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  <w:t>职业能力评价直属</w:t>
      </w:r>
      <w:r>
        <w:rPr>
          <w:rFonts w:hint="eastAsia"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  <w:t>基地</w:t>
      </w:r>
    </w:p>
    <w:p>
      <w:pPr>
        <w:spacing w:line="560" w:lineRule="exact"/>
        <w:ind w:firstLine="643" w:firstLineChars="200"/>
        <w:rPr>
          <w:rFonts w:ascii="仿宋" w:hAnsi="仿宋" w:eastAsia="仿宋" w:cs="宋体"/>
          <w:b/>
          <w:bCs/>
          <w:sz w:val="32"/>
          <w:szCs w:val="32"/>
        </w:rPr>
      </w:pPr>
      <w:r>
        <w:rPr>
          <w:rFonts w:hint="eastAsia" w:ascii="仿宋" w:hAnsi="仿宋" w:eastAsia="仿宋"/>
          <w:b/>
          <w:sz w:val="32"/>
          <w:szCs w:val="32"/>
        </w:rPr>
        <w:t>三</w:t>
      </w:r>
      <w:r>
        <w:rPr>
          <w:rFonts w:ascii="仿宋" w:hAnsi="仿宋" w:eastAsia="仿宋"/>
          <w:b/>
          <w:sz w:val="32"/>
          <w:szCs w:val="32"/>
        </w:rPr>
        <w:t>、</w:t>
      </w:r>
      <w:r>
        <w:rPr>
          <w:rFonts w:ascii="仿宋" w:hAnsi="仿宋" w:eastAsia="仿宋" w:cs="宋体"/>
          <w:b/>
          <w:bCs/>
          <w:sz w:val="32"/>
          <w:szCs w:val="32"/>
        </w:rPr>
        <w:t>加强</w:t>
      </w:r>
      <w:r>
        <w:rPr>
          <w:rFonts w:hint="eastAsia" w:ascii="仿宋" w:hAnsi="仿宋" w:eastAsia="仿宋" w:cs="宋体"/>
          <w:b/>
          <w:bCs/>
          <w:sz w:val="32"/>
          <w:szCs w:val="32"/>
        </w:rPr>
        <w:t>“双师”教师</w:t>
      </w:r>
      <w:r>
        <w:rPr>
          <w:rFonts w:ascii="仿宋" w:hAnsi="仿宋" w:eastAsia="仿宋" w:cs="宋体"/>
          <w:b/>
          <w:bCs/>
          <w:sz w:val="32"/>
          <w:szCs w:val="32"/>
        </w:rPr>
        <w:t>队伍建设</w:t>
      </w:r>
    </w:p>
    <w:p>
      <w:pPr>
        <w:spacing w:line="560" w:lineRule="exact"/>
        <w:ind w:firstLine="64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一是强化制度建设，保障政策力度。</w:t>
      </w:r>
      <w:r>
        <w:rPr>
          <w:rFonts w:hint="eastAsia" w:ascii="仿宋" w:hAnsi="仿宋" w:eastAsia="仿宋" w:cs="宋体"/>
          <w:sz w:val="32"/>
          <w:szCs w:val="32"/>
        </w:rPr>
        <w:t>通过</w:t>
      </w:r>
      <w:r>
        <w:rPr>
          <w:rFonts w:hint="eastAsia" w:ascii="仿宋" w:hAnsi="仿宋" w:eastAsia="仿宋" w:cs="宋体"/>
          <w:bCs/>
          <w:sz w:val="32"/>
          <w:szCs w:val="32"/>
        </w:rPr>
        <w:t>修订《陕西财经职业技术学院双师素质教师管理办法》，制定“双师型”教师队伍建设规划，完善教师培养培训管理办法等</w:t>
      </w:r>
      <w:r>
        <w:rPr>
          <w:rFonts w:ascii="仿宋" w:hAnsi="仿宋" w:eastAsia="仿宋" w:cs="宋体"/>
          <w:bCs/>
          <w:sz w:val="32"/>
          <w:szCs w:val="32"/>
        </w:rPr>
        <w:t>，不断</w:t>
      </w:r>
      <w:r>
        <w:rPr>
          <w:rFonts w:hint="eastAsia" w:ascii="仿宋" w:hAnsi="仿宋" w:eastAsia="仿宋" w:cs="宋体"/>
          <w:bCs/>
          <w:sz w:val="32"/>
          <w:szCs w:val="32"/>
        </w:rPr>
        <w:t>健全师资队伍的发展相关</w:t>
      </w:r>
      <w:r>
        <w:rPr>
          <w:rFonts w:ascii="仿宋" w:hAnsi="仿宋" w:eastAsia="仿宋" w:cs="宋体"/>
          <w:bCs/>
          <w:sz w:val="32"/>
          <w:szCs w:val="32"/>
        </w:rPr>
        <w:t>制度</w:t>
      </w:r>
      <w:r>
        <w:rPr>
          <w:rFonts w:hint="eastAsia" w:ascii="仿宋" w:hAnsi="仿宋" w:eastAsia="仿宋" w:cs="宋体"/>
          <w:bCs/>
          <w:sz w:val="32"/>
          <w:szCs w:val="32"/>
        </w:rPr>
        <w:t>。</w:t>
      </w:r>
      <w:r>
        <w:rPr>
          <w:rFonts w:hint="eastAsia" w:ascii="仿宋" w:hAnsi="仿宋" w:eastAsia="仿宋" w:cs="宋体"/>
          <w:sz w:val="32"/>
          <w:szCs w:val="32"/>
        </w:rPr>
        <w:t>二是调整专业结构，加强企业实践。新成立大数据与人工智能学院、新开设工程造价、工程、空乘、工艺美术等与企业联系密切的专业，依托企业办专业，充分利用企业的师资资源，大数据与人工智能学院的专业课教师大部分都为企业人员</w:t>
      </w:r>
      <w:r>
        <w:rPr>
          <w:rFonts w:hint="eastAsia" w:ascii="仿宋" w:hAnsi="仿宋" w:eastAsia="仿宋" w:cs="宋体"/>
          <w:bCs/>
          <w:sz w:val="32"/>
          <w:szCs w:val="32"/>
        </w:rPr>
        <w:t>。同时，</w:t>
      </w:r>
      <w:r>
        <w:rPr>
          <w:rFonts w:ascii="仿宋" w:hAnsi="仿宋" w:eastAsia="仿宋" w:cs="宋体"/>
          <w:bCs/>
          <w:sz w:val="32"/>
          <w:szCs w:val="32"/>
        </w:rPr>
        <w:t>有计划地要求专业</w:t>
      </w:r>
      <w:r>
        <w:rPr>
          <w:rFonts w:hint="eastAsia" w:ascii="仿宋" w:hAnsi="仿宋" w:eastAsia="仿宋" w:cs="宋体"/>
          <w:bCs/>
          <w:sz w:val="32"/>
          <w:szCs w:val="32"/>
        </w:rPr>
        <w:t>课</w:t>
      </w:r>
      <w:r>
        <w:rPr>
          <w:rFonts w:ascii="仿宋" w:hAnsi="仿宋" w:eastAsia="仿宋" w:cs="宋体"/>
          <w:bCs/>
          <w:sz w:val="32"/>
          <w:szCs w:val="32"/>
        </w:rPr>
        <w:t>教师利用寒暑假到企业进行实践锻炼，</w:t>
      </w:r>
      <w:r>
        <w:rPr>
          <w:rFonts w:hint="eastAsia" w:ascii="仿宋" w:hAnsi="仿宋" w:eastAsia="仿宋" w:cs="宋体"/>
          <w:bCs/>
          <w:sz w:val="32"/>
          <w:szCs w:val="32"/>
        </w:rPr>
        <w:t>提高</w:t>
      </w:r>
      <w:r>
        <w:rPr>
          <w:rFonts w:ascii="仿宋" w:hAnsi="仿宋" w:eastAsia="仿宋" w:cs="宋体"/>
          <w:bCs/>
          <w:sz w:val="32"/>
          <w:szCs w:val="32"/>
        </w:rPr>
        <w:t>教师的实际操作能力。</w:t>
      </w:r>
      <w:r>
        <w:rPr>
          <w:rFonts w:hint="eastAsia" w:ascii="仿宋" w:hAnsi="仿宋" w:eastAsia="仿宋" w:cs="宋体"/>
          <w:sz w:val="32"/>
          <w:szCs w:val="32"/>
        </w:rPr>
        <w:t>三是深化校企合作，联合培养“双师”教师</w:t>
      </w:r>
      <w:r>
        <w:rPr>
          <w:rFonts w:ascii="仿宋" w:hAnsi="仿宋" w:eastAsia="仿宋" w:cs="宋体"/>
          <w:sz w:val="32"/>
          <w:szCs w:val="32"/>
        </w:rPr>
        <w:t>。</w:t>
      </w:r>
      <w:r>
        <w:rPr>
          <w:rFonts w:hint="eastAsia" w:ascii="仿宋" w:hAnsi="仿宋" w:eastAsia="仿宋" w:cs="宋体"/>
          <w:bCs/>
          <w:sz w:val="32"/>
          <w:szCs w:val="32"/>
        </w:rPr>
        <w:t>学院在聘请企业优秀人才的同时，依托新道科技股份有限公司、达内时代科技集团、京东集团等多家知名合作企业，共建大数据与会计、大数据技术与应用、市场营销等专业群“双师型”教师培养培训基地。四</w:t>
      </w:r>
      <w:r>
        <w:rPr>
          <w:rFonts w:ascii="仿宋" w:hAnsi="仿宋" w:eastAsia="仿宋" w:cs="宋体"/>
          <w:bCs/>
          <w:sz w:val="32"/>
          <w:szCs w:val="32"/>
        </w:rPr>
        <w:t>是</w:t>
      </w:r>
      <w:r>
        <w:rPr>
          <w:rFonts w:hint="eastAsia" w:ascii="仿宋" w:hAnsi="仿宋" w:eastAsia="仿宋" w:cs="宋体"/>
          <w:sz w:val="32"/>
          <w:szCs w:val="32"/>
        </w:rPr>
        <w:t>注重内部培养，提高实践能力。</w:t>
      </w:r>
      <w:r>
        <w:rPr>
          <w:rFonts w:hint="eastAsia" w:ascii="仿宋" w:hAnsi="仿宋" w:eastAsia="仿宋" w:cs="宋体"/>
          <w:bCs/>
          <w:sz w:val="32"/>
          <w:szCs w:val="32"/>
        </w:rPr>
        <w:t>为了补齐专业课教师懂理论、轻实践的短板，学院在干部调整过程中，刻意安排部门兼职岗位，让教师在教授理论课的同时，充分了解与自己专业相关的实践技能。如会计专业教师到学院财务处、审计处兼职、大数据专业教师到信息与网络管理中心兼职、建筑工程管理专业教师到基建处兼职、电子商务和市场营销专业教师到学院超市兼职等。通过让教师直接参与实际业务工作，将实践技能更好的与理论知识相结合。</w:t>
      </w:r>
    </w:p>
    <w:p>
      <w:pPr>
        <w:spacing w:line="560" w:lineRule="exact"/>
        <w:ind w:firstLine="64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近年来，学院紧扣“职教20条”，坚持以全面提高教师队伍素质为主线，以高层次人才队伍、专业带头人、骨干教师、技能型人才、兼职教师、教学团队、校企合作等为重点，通过</w:t>
      </w:r>
      <w:r>
        <w:rPr>
          <w:rFonts w:ascii="仿宋" w:hAnsi="仿宋" w:eastAsia="仿宋" w:cs="宋体"/>
          <w:bCs/>
          <w:sz w:val="32"/>
          <w:szCs w:val="32"/>
        </w:rPr>
        <w:t>“外引+</w:t>
      </w:r>
      <w:r>
        <w:rPr>
          <w:rFonts w:hint="eastAsia" w:ascii="仿宋" w:hAnsi="仿宋" w:eastAsia="仿宋" w:cs="宋体"/>
          <w:bCs/>
          <w:sz w:val="32"/>
          <w:szCs w:val="32"/>
        </w:rPr>
        <w:t>内培”的形式，不断推进加快“双师型”教师队伍建设，目前 “双师型”教师占教师总数的</w:t>
      </w:r>
      <w:r>
        <w:rPr>
          <w:rFonts w:ascii="仿宋" w:hAnsi="仿宋" w:eastAsia="仿宋" w:cs="宋体"/>
          <w:bCs/>
          <w:sz w:val="32"/>
          <w:szCs w:val="32"/>
        </w:rPr>
        <w:t>62%</w:t>
      </w:r>
      <w:r>
        <w:rPr>
          <w:rFonts w:hint="eastAsia" w:ascii="仿宋" w:hAnsi="仿宋" w:eastAsia="仿宋" w:cs="宋体"/>
          <w:bCs/>
          <w:sz w:val="32"/>
          <w:szCs w:val="32"/>
        </w:rPr>
        <w:t>，占专业课教师总数的</w:t>
      </w:r>
      <w:r>
        <w:rPr>
          <w:rFonts w:ascii="仿宋" w:hAnsi="仿宋" w:eastAsia="仿宋" w:cs="宋体"/>
          <w:bCs/>
          <w:sz w:val="32"/>
          <w:szCs w:val="32"/>
        </w:rPr>
        <w:t>73.2%</w:t>
      </w:r>
      <w:r>
        <w:rPr>
          <w:rFonts w:hint="eastAsia" w:ascii="仿宋" w:hAnsi="仿宋" w:eastAsia="仿宋" w:cs="宋体"/>
          <w:bCs/>
          <w:sz w:val="32"/>
          <w:szCs w:val="32"/>
        </w:rPr>
        <w:t>。近三年，学院在国家级、省级、行业各类技能大赛中累计获奖</w:t>
      </w:r>
      <w:r>
        <w:rPr>
          <w:rFonts w:ascii="仿宋" w:hAnsi="仿宋" w:eastAsia="仿宋" w:cs="宋体"/>
          <w:bCs/>
          <w:sz w:val="32"/>
          <w:szCs w:val="32"/>
        </w:rPr>
        <w:t>300</w:t>
      </w:r>
      <w:r>
        <w:rPr>
          <w:rFonts w:hint="eastAsia" w:ascii="仿宋" w:hAnsi="仿宋" w:eastAsia="仿宋" w:cs="宋体"/>
          <w:bCs/>
          <w:sz w:val="32"/>
          <w:szCs w:val="32"/>
        </w:rPr>
        <w:t>余项，会计技能竞赛连续</w:t>
      </w:r>
      <w:r>
        <w:rPr>
          <w:rFonts w:ascii="仿宋" w:hAnsi="仿宋" w:eastAsia="仿宋" w:cs="宋体"/>
          <w:bCs/>
          <w:sz w:val="32"/>
          <w:szCs w:val="32"/>
        </w:rPr>
        <w:t>9</w:t>
      </w:r>
      <w:r>
        <w:rPr>
          <w:rFonts w:hint="eastAsia" w:ascii="仿宋" w:hAnsi="仿宋" w:eastAsia="仿宋" w:cs="宋体"/>
          <w:bCs/>
          <w:sz w:val="32"/>
          <w:szCs w:val="32"/>
        </w:rPr>
        <w:t>年获省赛第一名、多次荣获国赛二三等奖，市场营销技能竞赛连续</w:t>
      </w:r>
      <w:r>
        <w:rPr>
          <w:rFonts w:ascii="仿宋" w:hAnsi="仿宋" w:eastAsia="仿宋" w:cs="宋体"/>
          <w:bCs/>
          <w:sz w:val="32"/>
          <w:szCs w:val="32"/>
        </w:rPr>
        <w:t>6</w:t>
      </w:r>
      <w:r>
        <w:rPr>
          <w:rFonts w:hint="eastAsia" w:ascii="仿宋" w:hAnsi="仿宋" w:eastAsia="仿宋" w:cs="宋体"/>
          <w:bCs/>
          <w:sz w:val="32"/>
          <w:szCs w:val="32"/>
        </w:rPr>
        <w:t>年获省赛一等奖、多次荣获国赛二等奖，多次荣获</w:t>
      </w:r>
      <w:r>
        <w:rPr>
          <w:rFonts w:ascii="仿宋" w:hAnsi="仿宋" w:eastAsia="仿宋" w:cs="宋体"/>
          <w:bCs/>
          <w:sz w:val="32"/>
          <w:szCs w:val="32"/>
        </w:rPr>
        <w:t>“</w:t>
      </w:r>
      <w:r>
        <w:rPr>
          <w:rFonts w:hint="eastAsia" w:ascii="仿宋" w:hAnsi="仿宋" w:eastAsia="仿宋" w:cs="宋体"/>
          <w:bCs/>
          <w:sz w:val="32"/>
          <w:szCs w:val="32"/>
        </w:rPr>
        <w:t>互联网</w:t>
      </w:r>
      <w:r>
        <w:rPr>
          <w:rFonts w:ascii="仿宋" w:hAnsi="仿宋" w:eastAsia="仿宋" w:cs="宋体"/>
          <w:bCs/>
          <w:sz w:val="32"/>
          <w:szCs w:val="32"/>
        </w:rPr>
        <w:t>+”</w:t>
      </w:r>
      <w:r>
        <w:rPr>
          <w:rFonts w:hint="eastAsia" w:ascii="仿宋" w:hAnsi="仿宋" w:eastAsia="仿宋" w:cs="宋体"/>
          <w:bCs/>
          <w:sz w:val="32"/>
          <w:szCs w:val="32"/>
        </w:rPr>
        <w:t>创新创业大赛省赛金奖银奖。学院拥有注册会计师、资产评估师、税务师、会计师、经济师、统计师等财经类资格的教师</w:t>
      </w:r>
      <w:r>
        <w:rPr>
          <w:rFonts w:ascii="仿宋" w:hAnsi="仿宋" w:eastAsia="仿宋" w:cs="宋体"/>
          <w:bCs/>
          <w:sz w:val="32"/>
          <w:szCs w:val="32"/>
        </w:rPr>
        <w:t>40</w:t>
      </w:r>
      <w:r>
        <w:rPr>
          <w:rFonts w:hint="eastAsia" w:ascii="仿宋" w:hAnsi="仿宋" w:eastAsia="仿宋" w:cs="宋体"/>
          <w:bCs/>
          <w:sz w:val="32"/>
          <w:szCs w:val="32"/>
        </w:rPr>
        <w:t>多名，居全省高职院校第一位；教师在企业实践和社会服务中，也得到了企事业单位的一致好评。</w:t>
      </w:r>
    </w:p>
    <w:p>
      <w:pPr>
        <w:spacing w:line="560" w:lineRule="exact"/>
        <w:ind w:firstLine="640" w:firstLineChars="200"/>
        <w:rPr>
          <w:rFonts w:ascii="仿宋" w:hAnsi="仿宋" w:eastAsia="仿宋" w:cs="宋体"/>
          <w:bCs/>
          <w:sz w:val="32"/>
          <w:szCs w:val="32"/>
        </w:rPr>
      </w:pPr>
    </w:p>
    <w:p>
      <w:pPr>
        <w:spacing w:line="560" w:lineRule="exact"/>
        <w:rPr>
          <w:rFonts w:ascii="仿宋" w:hAnsi="仿宋" w:eastAsia="仿宋" w:cs="宋体"/>
          <w:bCs/>
          <w:sz w:val="32"/>
          <w:szCs w:val="32"/>
        </w:rPr>
      </w:pPr>
    </w:p>
    <w:p>
      <w:pPr>
        <w:spacing w:line="560" w:lineRule="exact"/>
        <w:jc w:val="center"/>
        <w:rPr>
          <w:rFonts w:ascii="仿宋" w:hAnsi="仿宋" w:eastAsia="仿宋" w:cs="宋体"/>
          <w:bCs/>
          <w:sz w:val="24"/>
          <w:szCs w:val="24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28575</wp:posOffset>
            </wp:positionH>
            <wp:positionV relativeFrom="paragraph">
              <wp:posOffset>2695575</wp:posOffset>
            </wp:positionV>
            <wp:extent cx="5248275" cy="2781300"/>
            <wp:effectExtent l="0" t="0" r="9525" b="0"/>
            <wp:wrapTopAndBottom/>
            <wp:docPr id="25615" name="Picture 2" descr="https://news.scy.cn/_mediafile/xww/2019/05/14/23rq87egs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15" name="Picture 2" descr="https://news.scy.cn/_mediafile/xww/2019/05/14/23rq87egs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 w:cs="宋体"/>
          <w:bCs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257800" cy="2085975"/>
            <wp:effectExtent l="0" t="0" r="0" b="9525"/>
            <wp:wrapTopAndBottom/>
            <wp:docPr id="2355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8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宋体"/>
          <w:bCs/>
          <w:sz w:val="24"/>
          <w:szCs w:val="24"/>
        </w:rPr>
        <w:t>成立大数据</w:t>
      </w:r>
      <w:r>
        <w:rPr>
          <w:rFonts w:ascii="仿宋" w:hAnsi="仿宋" w:eastAsia="仿宋" w:cs="宋体"/>
          <w:bCs/>
          <w:sz w:val="24"/>
          <w:szCs w:val="24"/>
        </w:rPr>
        <w:t>与人工智能学院</w:t>
      </w:r>
    </w:p>
    <w:p>
      <w:pPr>
        <w:spacing w:line="560" w:lineRule="exact"/>
        <w:rPr>
          <w:rFonts w:ascii="仿宋" w:hAnsi="仿宋" w:eastAsia="仿宋" w:cs="宋体"/>
          <w:bCs/>
          <w:sz w:val="32"/>
          <w:szCs w:val="32"/>
        </w:rPr>
      </w:pPr>
    </w:p>
    <w:p>
      <w:pPr>
        <w:spacing w:line="560" w:lineRule="exact"/>
        <w:jc w:val="center"/>
        <w:rPr>
          <w:rFonts w:ascii="仿宋" w:hAnsi="仿宋" w:eastAsia="仿宋" w:cs="宋体"/>
          <w:bCs/>
          <w:sz w:val="24"/>
          <w:szCs w:val="24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3213100</wp:posOffset>
            </wp:positionV>
            <wp:extent cx="5200650" cy="2533650"/>
            <wp:effectExtent l="0" t="0" r="0" b="0"/>
            <wp:wrapTopAndBottom/>
            <wp:docPr id="2561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19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宋体"/>
          <w:bCs/>
          <w:sz w:val="24"/>
          <w:szCs w:val="24"/>
        </w:rPr>
        <w:t>成立</w:t>
      </w:r>
      <w:r>
        <w:rPr>
          <w:rFonts w:ascii="仿宋" w:hAnsi="仿宋" w:eastAsia="仿宋" w:cs="宋体"/>
          <w:bCs/>
          <w:sz w:val="24"/>
          <w:szCs w:val="24"/>
        </w:rPr>
        <w:t>贺兴文大师工作室</w:t>
      </w:r>
    </w:p>
    <w:p>
      <w:pPr>
        <w:spacing w:line="560" w:lineRule="exact"/>
        <w:ind w:firstLine="48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ascii="仿宋" w:hAnsi="仿宋" w:eastAsia="仿宋" w:cs="宋体"/>
          <w:bCs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450850</wp:posOffset>
            </wp:positionV>
            <wp:extent cx="4876800" cy="2828925"/>
            <wp:effectExtent l="0" t="0" r="0" b="0"/>
            <wp:wrapTopAndBottom/>
            <wp:docPr id="24591" name="Picture 8" descr="C:\Users\Administrator\Desktop\国家教育行政学院调研2021.9.29\双师\照片\校企合作：西安君悦酒店为我院赠送锦旗仪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91" name="Picture 8" descr="C:\Users\Administrator\Desktop\国家教育行政学院调研2021.9.29\双师\照片\校企合作：西安君悦酒店为我院赠送锦旗仪式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420" w:firstLineChars="200"/>
        <w:jc w:val="center"/>
        <w:rPr>
          <w:rFonts w:ascii="仿宋" w:hAnsi="仿宋" w:eastAsia="仿宋" w:cs="宋体"/>
          <w:bCs/>
          <w:sz w:val="24"/>
          <w:szCs w:val="24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3321050</wp:posOffset>
            </wp:positionV>
            <wp:extent cx="5029200" cy="3057525"/>
            <wp:effectExtent l="0" t="0" r="0" b="9525"/>
            <wp:wrapTopAndBottom/>
            <wp:docPr id="25616" name="Picture 4" descr="https://news.scy.cn/_mediafile/xww/2019/12/16/2r05szml6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16" name="Picture 4" descr="https://news.scy.cn/_mediafile/xww/2019/12/16/2r05szml6s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宋体"/>
          <w:bCs/>
          <w:sz w:val="24"/>
          <w:szCs w:val="24"/>
        </w:rPr>
        <w:t>校企</w:t>
      </w:r>
      <w:r>
        <w:rPr>
          <w:rFonts w:ascii="仿宋" w:hAnsi="仿宋" w:eastAsia="仿宋" w:cs="宋体"/>
          <w:bCs/>
          <w:sz w:val="24"/>
          <w:szCs w:val="24"/>
        </w:rPr>
        <w:t>合作共建</w:t>
      </w:r>
      <w:r>
        <w:rPr>
          <w:rFonts w:hint="eastAsia" w:ascii="仿宋" w:hAnsi="仿宋" w:eastAsia="仿宋" w:cs="宋体"/>
          <w:bCs/>
          <w:sz w:val="24"/>
          <w:szCs w:val="24"/>
        </w:rPr>
        <w:t>“双师”培养</w:t>
      </w:r>
      <w:r>
        <w:rPr>
          <w:rFonts w:ascii="仿宋" w:hAnsi="仿宋" w:eastAsia="仿宋" w:cs="宋体"/>
          <w:bCs/>
          <w:sz w:val="24"/>
          <w:szCs w:val="24"/>
        </w:rPr>
        <w:t>基地</w:t>
      </w:r>
    </w:p>
    <w:p>
      <w:pPr>
        <w:spacing w:line="560" w:lineRule="exact"/>
        <w:ind w:firstLine="480" w:firstLineChars="200"/>
        <w:jc w:val="center"/>
        <w:rPr>
          <w:rFonts w:ascii="仿宋" w:hAnsi="仿宋" w:eastAsia="仿宋" w:cs="宋体"/>
          <w:bCs/>
          <w:sz w:val="24"/>
          <w:szCs w:val="24"/>
        </w:rPr>
      </w:pPr>
      <w:r>
        <w:rPr>
          <w:rFonts w:hint="eastAsia" w:ascii="仿宋" w:hAnsi="仿宋" w:eastAsia="仿宋" w:cs="宋体"/>
          <w:bCs/>
          <w:sz w:val="24"/>
          <w:szCs w:val="24"/>
        </w:rPr>
        <w:t>学院</w:t>
      </w:r>
      <w:r>
        <w:rPr>
          <w:rFonts w:ascii="仿宋" w:hAnsi="仿宋" w:eastAsia="仿宋" w:cs="宋体"/>
          <w:bCs/>
          <w:sz w:val="24"/>
          <w:szCs w:val="24"/>
        </w:rPr>
        <w:t>授予陕西</w:t>
      </w:r>
      <w:r>
        <w:rPr>
          <w:rFonts w:hint="eastAsia" w:ascii="仿宋" w:hAnsi="仿宋" w:eastAsia="仿宋" w:cs="宋体"/>
          <w:bCs/>
          <w:sz w:val="24"/>
          <w:szCs w:val="24"/>
        </w:rPr>
        <w:t>非</w:t>
      </w:r>
      <w:r>
        <w:rPr>
          <w:rFonts w:ascii="仿宋" w:hAnsi="仿宋" w:eastAsia="仿宋" w:cs="宋体"/>
          <w:bCs/>
          <w:sz w:val="24"/>
          <w:szCs w:val="24"/>
        </w:rPr>
        <w:t>物质文化遗产产业促进会产学研基地</w:t>
      </w:r>
    </w:p>
    <w:p>
      <w:pPr>
        <w:spacing w:line="560" w:lineRule="exact"/>
        <w:ind w:firstLine="643" w:firstLineChars="200"/>
        <w:rPr>
          <w:rFonts w:ascii="仿宋" w:hAnsi="仿宋" w:eastAsia="仿宋" w:cs="宋体"/>
          <w:b/>
          <w:bCs/>
          <w:sz w:val="32"/>
          <w:szCs w:val="32"/>
        </w:rPr>
      </w:pPr>
      <w:r>
        <w:rPr>
          <w:rFonts w:hint="eastAsia" w:ascii="仿宋" w:hAnsi="仿宋" w:eastAsia="仿宋" w:cs="宋体"/>
          <w:b/>
          <w:bCs/>
          <w:sz w:val="32"/>
          <w:szCs w:val="32"/>
        </w:rPr>
        <w:t>四、构建</w:t>
      </w:r>
      <w:r>
        <w:rPr>
          <w:rFonts w:ascii="仿宋" w:hAnsi="仿宋" w:eastAsia="仿宋" w:cs="宋体"/>
          <w:b/>
          <w:bCs/>
          <w:sz w:val="32"/>
          <w:szCs w:val="32"/>
        </w:rPr>
        <w:t>教师分层分类培训机制</w:t>
      </w:r>
    </w:p>
    <w:p>
      <w:pPr>
        <w:spacing w:line="560" w:lineRule="exact"/>
        <w:ind w:firstLine="64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一是构建并完善新进教师、骨干教师、专业带（群）头人、教学名师梯次式选拔培养机制。完善《骨干教师培养管理办法》《专业（群）带头人选拔管理办法》《教学名师选拔管理办法》等制度，建立分层分类培养培训工作计划和考核办法。探索教师分类培养机制，根据教师个人特质和专长，将教师分为教学为主型、研究型、领军带头型等。二是构建分层培养机制。实施新入职教师培训计划，加强新教师师德师风、教育能力、信息化能力、团队协作能力、创新能力等培训；选派新教师外出参加学习展示、技术培训、教学比武等，为新教师安排双师型骨干教师“传、帮、带”。实施骨干教师培养计划，实行“学历教育+企业实践”的培养方法和轮训制度，鼓励骨干教师攻读博士学位，借助校企合作平台，选派骨干教师赴行业领军企业顶岗挂职，掌握实践技能。实施专业（群）带头人培养计划，通过选派培养对象到国内外著名高校进修学习、到合作企业参与企业实践活动等途径，培养专业（群）带头人。完善校级教学名师选拔、培养和奖励等制度，对教育思想和教学方法有重要创新的教学名师，全面开展名师培育工作。</w:t>
      </w:r>
    </w:p>
    <w:p>
      <w:pPr>
        <w:spacing w:line="560" w:lineRule="exact"/>
        <w:ind w:firstLine="64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近年来，学院克服疫情影响，争取各种线上优势资源，每年</w:t>
      </w:r>
      <w:r>
        <w:rPr>
          <w:rFonts w:ascii="仿宋" w:hAnsi="仿宋" w:eastAsia="仿宋" w:cs="宋体"/>
          <w:bCs/>
          <w:sz w:val="32"/>
          <w:szCs w:val="32"/>
        </w:rPr>
        <w:t>教师参加各种国家级</w:t>
      </w:r>
      <w:r>
        <w:rPr>
          <w:rFonts w:hint="eastAsia" w:ascii="仿宋" w:hAnsi="仿宋" w:eastAsia="仿宋" w:cs="宋体"/>
          <w:bCs/>
          <w:sz w:val="32"/>
          <w:szCs w:val="32"/>
        </w:rPr>
        <w:t>、</w:t>
      </w:r>
      <w:r>
        <w:rPr>
          <w:rFonts w:ascii="仿宋" w:hAnsi="仿宋" w:eastAsia="仿宋" w:cs="宋体"/>
          <w:bCs/>
          <w:sz w:val="32"/>
          <w:szCs w:val="32"/>
        </w:rPr>
        <w:t>省级</w:t>
      </w:r>
      <w:r>
        <w:rPr>
          <w:rFonts w:hint="eastAsia" w:ascii="仿宋" w:hAnsi="仿宋" w:eastAsia="仿宋" w:cs="宋体"/>
          <w:bCs/>
          <w:sz w:val="32"/>
          <w:szCs w:val="32"/>
        </w:rPr>
        <w:t>、</w:t>
      </w:r>
      <w:r>
        <w:rPr>
          <w:rFonts w:ascii="仿宋" w:hAnsi="仿宋" w:eastAsia="仿宋" w:cs="宋体"/>
          <w:bCs/>
          <w:sz w:val="32"/>
          <w:szCs w:val="32"/>
        </w:rPr>
        <w:t>校级培训达</w:t>
      </w:r>
      <w:r>
        <w:rPr>
          <w:rFonts w:hint="eastAsia" w:ascii="仿宋" w:hAnsi="仿宋" w:eastAsia="仿宋" w:cs="宋体"/>
          <w:bCs/>
          <w:sz w:val="32"/>
          <w:szCs w:val="32"/>
        </w:rPr>
        <w:t>900余人次；</w:t>
      </w:r>
      <w:r>
        <w:rPr>
          <w:rFonts w:ascii="仿宋" w:hAnsi="仿宋" w:eastAsia="仿宋" w:cs="宋体"/>
          <w:bCs/>
          <w:sz w:val="32"/>
          <w:szCs w:val="32"/>
        </w:rPr>
        <w:t>相继</w:t>
      </w:r>
      <w:r>
        <w:rPr>
          <w:rFonts w:hint="eastAsia" w:ascii="仿宋" w:hAnsi="仿宋" w:eastAsia="仿宋" w:cs="宋体"/>
          <w:bCs/>
          <w:sz w:val="32"/>
          <w:szCs w:val="32"/>
        </w:rPr>
        <w:t>派出31人</w:t>
      </w:r>
      <w:r>
        <w:rPr>
          <w:rFonts w:ascii="仿宋" w:hAnsi="仿宋" w:eastAsia="仿宋" w:cs="宋体"/>
          <w:bCs/>
          <w:sz w:val="32"/>
          <w:szCs w:val="32"/>
        </w:rPr>
        <w:t>赴德国、奥地利</w:t>
      </w:r>
      <w:r>
        <w:rPr>
          <w:rFonts w:hint="eastAsia" w:ascii="仿宋" w:hAnsi="仿宋" w:eastAsia="仿宋" w:cs="宋体"/>
          <w:bCs/>
          <w:sz w:val="32"/>
          <w:szCs w:val="32"/>
        </w:rPr>
        <w:t>等</w:t>
      </w:r>
      <w:r>
        <w:rPr>
          <w:rFonts w:ascii="仿宋" w:hAnsi="仿宋" w:eastAsia="仿宋" w:cs="宋体"/>
          <w:bCs/>
          <w:sz w:val="32"/>
          <w:szCs w:val="32"/>
        </w:rPr>
        <w:t>国家</w:t>
      </w:r>
      <w:r>
        <w:rPr>
          <w:rFonts w:hint="eastAsia" w:ascii="仿宋" w:hAnsi="仿宋" w:eastAsia="仿宋" w:cs="宋体"/>
          <w:bCs/>
          <w:sz w:val="32"/>
          <w:szCs w:val="32"/>
        </w:rPr>
        <w:t>及</w:t>
      </w:r>
      <w:r>
        <w:rPr>
          <w:rFonts w:ascii="仿宋" w:hAnsi="仿宋" w:eastAsia="仿宋" w:cs="宋体"/>
          <w:bCs/>
          <w:sz w:val="32"/>
          <w:szCs w:val="32"/>
        </w:rPr>
        <w:t>台湾</w:t>
      </w:r>
      <w:r>
        <w:rPr>
          <w:rFonts w:hint="eastAsia" w:ascii="仿宋" w:hAnsi="仿宋" w:eastAsia="仿宋" w:cs="宋体"/>
          <w:bCs/>
          <w:sz w:val="32"/>
          <w:szCs w:val="32"/>
        </w:rPr>
        <w:t>地区</w:t>
      </w:r>
      <w:r>
        <w:rPr>
          <w:rFonts w:ascii="仿宋" w:hAnsi="仿宋" w:eastAsia="仿宋" w:cs="宋体"/>
          <w:bCs/>
          <w:sz w:val="32"/>
          <w:szCs w:val="32"/>
        </w:rPr>
        <w:t>考察学习，</w:t>
      </w:r>
      <w:r>
        <w:rPr>
          <w:rFonts w:hint="eastAsia" w:ascii="仿宋" w:hAnsi="仿宋" w:eastAsia="仿宋" w:cs="宋体"/>
          <w:bCs/>
          <w:sz w:val="32"/>
          <w:szCs w:val="32"/>
        </w:rPr>
        <w:t>20名教师</w:t>
      </w:r>
      <w:r>
        <w:rPr>
          <w:rFonts w:ascii="仿宋" w:hAnsi="仿宋" w:eastAsia="仿宋" w:cs="宋体"/>
          <w:bCs/>
          <w:sz w:val="32"/>
          <w:szCs w:val="32"/>
        </w:rPr>
        <w:t>参加了国际认可的双语教师资格培训，</w:t>
      </w:r>
      <w:r>
        <w:rPr>
          <w:rFonts w:hint="eastAsia" w:ascii="仿宋" w:hAnsi="仿宋" w:eastAsia="仿宋" w:cs="宋体"/>
          <w:bCs/>
          <w:sz w:val="32"/>
          <w:szCs w:val="32"/>
        </w:rPr>
        <w:t>78人次</w:t>
      </w:r>
      <w:r>
        <w:rPr>
          <w:rFonts w:ascii="仿宋" w:hAnsi="仿宋" w:eastAsia="仿宋" w:cs="宋体"/>
          <w:bCs/>
          <w:sz w:val="32"/>
          <w:szCs w:val="32"/>
        </w:rPr>
        <w:t>教师</w:t>
      </w:r>
      <w:r>
        <w:rPr>
          <w:rFonts w:hint="eastAsia" w:ascii="仿宋" w:hAnsi="仿宋" w:eastAsia="仿宋" w:cs="宋体"/>
          <w:bCs/>
          <w:sz w:val="32"/>
          <w:szCs w:val="32"/>
        </w:rPr>
        <w:t>到</w:t>
      </w:r>
      <w:r>
        <w:rPr>
          <w:rFonts w:ascii="仿宋" w:hAnsi="仿宋" w:eastAsia="仿宋" w:cs="宋体"/>
          <w:bCs/>
          <w:sz w:val="32"/>
          <w:szCs w:val="32"/>
        </w:rPr>
        <w:t>无锡商职</w:t>
      </w:r>
      <w:r>
        <w:rPr>
          <w:rFonts w:hint="eastAsia" w:ascii="仿宋" w:hAnsi="仿宋" w:eastAsia="仿宋" w:cs="宋体"/>
          <w:bCs/>
          <w:sz w:val="32"/>
          <w:szCs w:val="32"/>
        </w:rPr>
        <w:t>等</w:t>
      </w:r>
      <w:r>
        <w:rPr>
          <w:rFonts w:ascii="仿宋" w:hAnsi="仿宋" w:eastAsia="仿宋" w:cs="宋体"/>
          <w:bCs/>
          <w:sz w:val="32"/>
          <w:szCs w:val="32"/>
        </w:rPr>
        <w:t>院校学习交流</w:t>
      </w:r>
      <w:r>
        <w:rPr>
          <w:rFonts w:hint="eastAsia" w:ascii="仿宋" w:hAnsi="仿宋" w:eastAsia="仿宋" w:cs="宋体"/>
          <w:bCs/>
          <w:sz w:val="32"/>
          <w:szCs w:val="32"/>
        </w:rPr>
        <w:t>、</w:t>
      </w:r>
      <w:r>
        <w:rPr>
          <w:rFonts w:ascii="仿宋" w:hAnsi="仿宋" w:eastAsia="仿宋" w:cs="宋体"/>
          <w:bCs/>
          <w:sz w:val="32"/>
          <w:szCs w:val="32"/>
        </w:rPr>
        <w:t>挂职锻炼</w:t>
      </w:r>
      <w:r>
        <w:rPr>
          <w:rFonts w:hint="eastAsia" w:ascii="仿宋" w:hAnsi="仿宋" w:eastAsia="仿宋" w:cs="宋体"/>
          <w:bCs/>
          <w:sz w:val="32"/>
          <w:szCs w:val="32"/>
        </w:rPr>
        <w:t>；</w:t>
      </w:r>
      <w:r>
        <w:rPr>
          <w:rFonts w:ascii="仿宋" w:hAnsi="仿宋" w:eastAsia="仿宋" w:cs="宋体"/>
          <w:bCs/>
          <w:sz w:val="32"/>
          <w:szCs w:val="32"/>
        </w:rPr>
        <w:t>博士</w:t>
      </w:r>
      <w:r>
        <w:rPr>
          <w:rFonts w:hint="eastAsia" w:ascii="仿宋" w:hAnsi="仿宋" w:eastAsia="仿宋" w:cs="宋体"/>
          <w:bCs/>
          <w:sz w:val="32"/>
          <w:szCs w:val="32"/>
        </w:rPr>
        <w:t>毕业3人，</w:t>
      </w:r>
      <w:r>
        <w:rPr>
          <w:rFonts w:ascii="仿宋" w:hAnsi="仿宋" w:eastAsia="仿宋" w:cs="宋体"/>
          <w:bCs/>
          <w:sz w:val="32"/>
          <w:szCs w:val="32"/>
        </w:rPr>
        <w:t>博士在读</w:t>
      </w:r>
      <w:r>
        <w:rPr>
          <w:rFonts w:hint="eastAsia" w:ascii="仿宋" w:hAnsi="仿宋" w:eastAsia="仿宋" w:cs="宋体"/>
          <w:bCs/>
          <w:sz w:val="32"/>
          <w:szCs w:val="32"/>
        </w:rPr>
        <w:t>20余人；</w:t>
      </w:r>
      <w:r>
        <w:rPr>
          <w:rFonts w:ascii="仿宋" w:hAnsi="仿宋" w:eastAsia="仿宋" w:cs="宋体"/>
          <w:bCs/>
          <w:sz w:val="32"/>
          <w:szCs w:val="32"/>
        </w:rPr>
        <w:t>选拔中青年系主任、专业负责人</w:t>
      </w:r>
      <w:r>
        <w:rPr>
          <w:rFonts w:hint="eastAsia" w:ascii="仿宋" w:hAnsi="仿宋" w:eastAsia="仿宋" w:cs="宋体"/>
          <w:bCs/>
          <w:sz w:val="32"/>
          <w:szCs w:val="32"/>
        </w:rPr>
        <w:t>45人</w:t>
      </w:r>
      <w:r>
        <w:rPr>
          <w:rFonts w:ascii="仿宋" w:hAnsi="仿宋" w:eastAsia="仿宋" w:cs="宋体"/>
          <w:bCs/>
          <w:sz w:val="32"/>
          <w:szCs w:val="32"/>
        </w:rPr>
        <w:t>。</w:t>
      </w:r>
      <w:r>
        <w:rPr>
          <w:rFonts w:hint="eastAsia" w:ascii="仿宋" w:hAnsi="仿宋" w:eastAsia="仿宋" w:cs="宋体"/>
          <w:bCs/>
          <w:sz w:val="32"/>
          <w:szCs w:val="32"/>
        </w:rPr>
        <w:t>三年来</w:t>
      </w:r>
      <w:r>
        <w:rPr>
          <w:rFonts w:ascii="仿宋" w:hAnsi="仿宋" w:eastAsia="仿宋" w:cs="宋体"/>
          <w:bCs/>
          <w:sz w:val="32"/>
          <w:szCs w:val="32"/>
        </w:rPr>
        <w:t>，</w:t>
      </w:r>
      <w:r>
        <w:rPr>
          <w:rFonts w:hint="eastAsia" w:ascii="仿宋" w:hAnsi="仿宋" w:eastAsia="仿宋" w:cs="宋体"/>
          <w:bCs/>
          <w:sz w:val="32"/>
          <w:szCs w:val="32"/>
        </w:rPr>
        <w:t>厚德</w:t>
      </w:r>
      <w:r>
        <w:rPr>
          <w:rFonts w:ascii="仿宋" w:hAnsi="仿宋" w:eastAsia="仿宋" w:cs="宋体"/>
          <w:bCs/>
          <w:sz w:val="32"/>
          <w:szCs w:val="32"/>
        </w:rPr>
        <w:t>育人工程获得省级教学成果一等奖，会计专业连续</w:t>
      </w:r>
      <w:r>
        <w:rPr>
          <w:rFonts w:hint="eastAsia" w:ascii="仿宋" w:hAnsi="仿宋" w:eastAsia="仿宋" w:cs="宋体"/>
          <w:bCs/>
          <w:sz w:val="32"/>
          <w:szCs w:val="32"/>
        </w:rPr>
        <w:t>10年</w:t>
      </w:r>
      <w:r>
        <w:rPr>
          <w:rFonts w:ascii="仿宋" w:hAnsi="仿宋" w:eastAsia="仿宋" w:cs="宋体"/>
          <w:bCs/>
          <w:sz w:val="32"/>
          <w:szCs w:val="32"/>
        </w:rPr>
        <w:t>获得省赛第一名</w:t>
      </w:r>
      <w:r>
        <w:rPr>
          <w:rFonts w:hint="eastAsia" w:ascii="仿宋" w:hAnsi="仿宋" w:eastAsia="仿宋" w:cs="宋体"/>
          <w:bCs/>
          <w:sz w:val="32"/>
          <w:szCs w:val="32"/>
        </w:rPr>
        <w:t>，</w:t>
      </w:r>
      <w:r>
        <w:rPr>
          <w:rFonts w:ascii="仿宋" w:hAnsi="仿宋" w:eastAsia="仿宋" w:cs="宋体"/>
          <w:bCs/>
          <w:sz w:val="32"/>
          <w:szCs w:val="32"/>
        </w:rPr>
        <w:t>市场营销专业连续</w:t>
      </w:r>
      <w:r>
        <w:rPr>
          <w:rFonts w:hint="eastAsia" w:ascii="仿宋" w:hAnsi="仿宋" w:eastAsia="仿宋" w:cs="宋体"/>
          <w:bCs/>
          <w:sz w:val="32"/>
          <w:szCs w:val="32"/>
        </w:rPr>
        <w:t>7年</w:t>
      </w:r>
      <w:r>
        <w:rPr>
          <w:rFonts w:ascii="仿宋" w:hAnsi="仿宋" w:eastAsia="仿宋" w:cs="宋体"/>
          <w:bCs/>
          <w:sz w:val="32"/>
          <w:szCs w:val="32"/>
        </w:rPr>
        <w:t>获得省赛一等奖，共获各类省级以上奖励共</w:t>
      </w:r>
      <w:r>
        <w:rPr>
          <w:rFonts w:hint="eastAsia" w:ascii="仿宋" w:hAnsi="仿宋" w:eastAsia="仿宋" w:cs="宋体"/>
          <w:bCs/>
          <w:sz w:val="32"/>
          <w:szCs w:val="32"/>
        </w:rPr>
        <w:t>84项</w:t>
      </w:r>
      <w:r>
        <w:rPr>
          <w:rFonts w:ascii="仿宋" w:hAnsi="仿宋" w:eastAsia="仿宋" w:cs="宋体"/>
          <w:bCs/>
          <w:sz w:val="32"/>
          <w:szCs w:val="32"/>
        </w:rPr>
        <w:t>。</w:t>
      </w:r>
    </w:p>
    <w:p>
      <w:pPr>
        <w:spacing w:line="560" w:lineRule="exact"/>
        <w:ind w:firstLine="48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ascii="仿宋" w:hAnsi="仿宋" w:eastAsia="仿宋"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16510</wp:posOffset>
            </wp:positionH>
            <wp:positionV relativeFrom="paragraph">
              <wp:posOffset>412750</wp:posOffset>
            </wp:positionV>
            <wp:extent cx="5276850" cy="3524250"/>
            <wp:effectExtent l="0" t="0" r="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524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center"/>
        <w:rPr>
          <w:rFonts w:ascii="仿宋" w:hAnsi="仿宋" w:eastAsia="仿宋" w:cs="宋体"/>
          <w:bCs/>
          <w:sz w:val="32"/>
          <w:szCs w:val="32"/>
        </w:rPr>
      </w:pPr>
      <w:r>
        <w:rPr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3936365</wp:posOffset>
            </wp:positionV>
            <wp:extent cx="5267325" cy="3114675"/>
            <wp:effectExtent l="0" t="0" r="9525" b="9525"/>
            <wp:wrapTopAndBottom/>
            <wp:docPr id="389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21" name="图片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宋体"/>
          <w:bCs/>
          <w:sz w:val="24"/>
          <w:szCs w:val="24"/>
        </w:rPr>
        <w:t>2</w:t>
      </w:r>
      <w:r>
        <w:rPr>
          <w:rFonts w:ascii="仿宋" w:hAnsi="仿宋" w:eastAsia="仿宋" w:cs="宋体"/>
          <w:bCs/>
          <w:sz w:val="24"/>
          <w:szCs w:val="24"/>
        </w:rPr>
        <w:t>022</w:t>
      </w:r>
      <w:r>
        <w:rPr>
          <w:rFonts w:hint="eastAsia" w:ascii="仿宋" w:hAnsi="仿宋" w:eastAsia="仿宋" w:cs="宋体"/>
          <w:bCs/>
          <w:sz w:val="24"/>
          <w:szCs w:val="24"/>
        </w:rPr>
        <w:t>年</w:t>
      </w:r>
      <w:r>
        <w:rPr>
          <w:rFonts w:ascii="仿宋" w:hAnsi="仿宋" w:eastAsia="仿宋" w:cs="宋体"/>
          <w:bCs/>
          <w:sz w:val="24"/>
          <w:szCs w:val="24"/>
        </w:rPr>
        <w:t>获得全国</w:t>
      </w:r>
      <w:r>
        <w:rPr>
          <w:rFonts w:hint="eastAsia" w:ascii="仿宋" w:hAnsi="仿宋" w:eastAsia="仿宋" w:cs="宋体"/>
          <w:bCs/>
          <w:sz w:val="24"/>
          <w:szCs w:val="24"/>
        </w:rPr>
        <w:t>、</w:t>
      </w:r>
      <w:r>
        <w:rPr>
          <w:rFonts w:ascii="仿宋" w:hAnsi="仿宋" w:eastAsia="仿宋" w:cs="宋体"/>
          <w:bCs/>
          <w:sz w:val="24"/>
          <w:szCs w:val="24"/>
        </w:rPr>
        <w:t>陕西省</w:t>
      </w:r>
      <w:r>
        <w:rPr>
          <w:rFonts w:hint="eastAsia" w:ascii="仿宋" w:hAnsi="仿宋" w:eastAsia="仿宋" w:cs="宋体"/>
          <w:bCs/>
          <w:sz w:val="24"/>
          <w:szCs w:val="24"/>
        </w:rPr>
        <w:t>职业</w:t>
      </w:r>
      <w:r>
        <w:rPr>
          <w:rFonts w:ascii="仿宋" w:hAnsi="仿宋" w:eastAsia="仿宋" w:cs="宋体"/>
          <w:bCs/>
          <w:sz w:val="24"/>
          <w:szCs w:val="24"/>
        </w:rPr>
        <w:t>院校技能大赛情况</w:t>
      </w:r>
    </w:p>
    <w:p>
      <w:pPr>
        <w:spacing w:line="560" w:lineRule="exact"/>
        <w:ind w:firstLine="643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/>
          <w:bCs/>
          <w:sz w:val="32"/>
          <w:szCs w:val="32"/>
        </w:rPr>
        <w:t>五</w:t>
      </w:r>
      <w:r>
        <w:rPr>
          <w:rFonts w:ascii="仿宋" w:hAnsi="仿宋" w:eastAsia="仿宋" w:cs="宋体"/>
          <w:b/>
          <w:bCs/>
          <w:sz w:val="32"/>
          <w:szCs w:val="32"/>
        </w:rPr>
        <w:t>、</w:t>
      </w:r>
      <w:r>
        <w:rPr>
          <w:rFonts w:hint="eastAsia" w:ascii="仿宋" w:hAnsi="仿宋" w:eastAsia="仿宋" w:cs="宋体"/>
          <w:b/>
          <w:bCs/>
          <w:sz w:val="32"/>
          <w:szCs w:val="32"/>
        </w:rPr>
        <w:t>构建专兼</w:t>
      </w:r>
      <w:r>
        <w:rPr>
          <w:rFonts w:ascii="仿宋" w:hAnsi="仿宋" w:eastAsia="仿宋" w:cs="宋体"/>
          <w:b/>
          <w:bCs/>
          <w:sz w:val="32"/>
          <w:szCs w:val="32"/>
        </w:rPr>
        <w:t>结合校企双向流动机制</w:t>
      </w:r>
    </w:p>
    <w:p>
      <w:pPr>
        <w:spacing w:line="560" w:lineRule="exact"/>
        <w:ind w:firstLine="64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一是完善“双师”认定及考核评价标准,实施教师进企业制度。制（修）订《双师素质教师认定办法》《双师素质教师考核办法》等工作制度；聚焦“1+X”证书制度和培训，探索财经类院校双师教师认定标准，支持教师取得双职称、考取国家职业资格证书及技能水平证书等。二是落实校企专业（群）双带头人计划，聘请企业技术专家来校任教。坚持双带头人工作机制，为专业配备一名校内专业领军人物和企业技术专家，在实践教学、团队组建、青年教师指导、员工培训等方面开展合作。三是构建校企双向流动工作机制，探索联合引才用才途径。依托中联智慧财经产业学院、华为</w:t>
      </w:r>
      <w:r>
        <w:rPr>
          <w:rFonts w:ascii="仿宋" w:hAnsi="仿宋" w:eastAsia="仿宋" w:cs="宋体"/>
          <w:bCs/>
          <w:sz w:val="32"/>
          <w:szCs w:val="32"/>
        </w:rPr>
        <w:t>ICT</w:t>
      </w:r>
      <w:r>
        <w:rPr>
          <w:rFonts w:hint="eastAsia" w:ascii="仿宋" w:hAnsi="仿宋" w:eastAsia="仿宋" w:cs="宋体"/>
          <w:bCs/>
          <w:sz w:val="32"/>
          <w:szCs w:val="32"/>
        </w:rPr>
        <w:t>会计产业学院、用友新道会计产业学院，探索和试点实施校企双向流动机制，在教师和员工培训、课程开发、实践教学、技术成果转化等方面开展深度合作。创新引才路径，探索学校与企业联合引才模式，校企共同引进、共同培养，即在企业工作，在学校接受教育培训，考核后上岗工作，实现校企</w:t>
      </w:r>
      <w:r>
        <w:drawing>
          <wp:anchor distT="0" distB="0" distL="114300" distR="114300" simplePos="0" relativeHeight="251672576" behindDoc="1" locked="0" layoutInCell="1" allowOverlap="1">
            <wp:simplePos x="0" y="0"/>
            <wp:positionH relativeFrom="margin">
              <wp:posOffset>123825</wp:posOffset>
            </wp:positionH>
            <wp:positionV relativeFrom="paragraph">
              <wp:posOffset>5202555</wp:posOffset>
            </wp:positionV>
            <wp:extent cx="5191125" cy="3648075"/>
            <wp:effectExtent l="0" t="0" r="9525" b="9525"/>
            <wp:wrapTopAndBottom/>
            <wp:docPr id="1105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94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宋体"/>
          <w:bCs/>
          <w:sz w:val="32"/>
          <w:szCs w:val="32"/>
        </w:rPr>
        <w:t>人员双向顺畅流动。</w:t>
      </w:r>
    </w:p>
    <w:p>
      <w:pPr>
        <w:spacing w:line="560" w:lineRule="exact"/>
        <w:ind w:firstLine="48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383540</wp:posOffset>
            </wp:positionV>
            <wp:extent cx="5000625" cy="3590925"/>
            <wp:effectExtent l="0" t="0" r="9525" b="9525"/>
            <wp:wrapSquare wrapText="bothSides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center"/>
        <w:rPr>
          <w:rFonts w:ascii="仿宋" w:hAnsi="仿宋" w:eastAsia="仿宋" w:cs="宋体"/>
          <w:bCs/>
          <w:sz w:val="24"/>
          <w:szCs w:val="24"/>
        </w:rPr>
      </w:pPr>
      <w:r>
        <w:rPr>
          <w:rFonts w:hint="eastAsia" w:ascii="仿宋" w:hAnsi="仿宋" w:eastAsia="仿宋" w:cs="宋体"/>
          <w:bCs/>
          <w:sz w:val="24"/>
          <w:szCs w:val="24"/>
        </w:rPr>
        <w:t>学院</w:t>
      </w:r>
      <w:r>
        <w:rPr>
          <w:rFonts w:ascii="仿宋" w:hAnsi="仿宋" w:eastAsia="仿宋" w:cs="宋体"/>
          <w:bCs/>
          <w:sz w:val="24"/>
          <w:szCs w:val="24"/>
        </w:rPr>
        <w:t>书记、院长带队</w:t>
      </w:r>
      <w:r>
        <w:rPr>
          <w:rFonts w:hint="eastAsia" w:ascii="仿宋" w:hAnsi="仿宋" w:eastAsia="仿宋" w:cs="宋体"/>
          <w:bCs/>
          <w:sz w:val="24"/>
          <w:szCs w:val="24"/>
        </w:rPr>
        <w:t>在</w:t>
      </w:r>
      <w:r>
        <w:rPr>
          <w:rFonts w:ascii="仿宋" w:hAnsi="仿宋" w:eastAsia="仿宋" w:cs="宋体"/>
          <w:bCs/>
          <w:sz w:val="24"/>
          <w:szCs w:val="24"/>
        </w:rPr>
        <w:t>企业</w:t>
      </w:r>
      <w:r>
        <w:rPr>
          <w:rFonts w:hint="eastAsia" w:ascii="仿宋" w:hAnsi="仿宋" w:eastAsia="仿宋" w:cs="宋体"/>
          <w:bCs/>
          <w:sz w:val="24"/>
          <w:szCs w:val="24"/>
        </w:rPr>
        <w:t>走访调研</w:t>
      </w:r>
    </w:p>
    <w:p>
      <w:pPr>
        <w:spacing w:line="420" w:lineRule="exact"/>
        <w:ind w:firstLine="643" w:firstLineChars="200"/>
        <w:rPr>
          <w:rFonts w:ascii="仿宋" w:hAnsi="仿宋" w:eastAsia="仿宋" w:cs="宋体"/>
          <w:b/>
          <w:bCs/>
          <w:sz w:val="32"/>
          <w:szCs w:val="32"/>
        </w:rPr>
      </w:pPr>
      <w:r>
        <w:rPr>
          <w:rFonts w:hint="eastAsia" w:ascii="仿宋" w:hAnsi="仿宋" w:eastAsia="仿宋" w:cs="宋体"/>
          <w:b/>
          <w:bCs/>
          <w:sz w:val="32"/>
          <w:szCs w:val="32"/>
        </w:rPr>
        <w:t>六、打造教师发展平台</w:t>
      </w:r>
    </w:p>
    <w:p>
      <w:pPr>
        <w:spacing w:line="560" w:lineRule="exact"/>
        <w:ind w:firstLine="640" w:firstLineChars="2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一是加强教师发展中心建设。改善升级中心硬件设施，为开展各类教师活动提供硬件支持；制定年度工作计划，定期开展名师讲堂、业务培训、学术交流等研讨活动；通过开展文化沙龙、建设在线课程资源等，提升教师业务水平和信息化应用能力，使教师发展中心成为专业化的教师成长发展和服务平台。二是搭建搭建教师国际交流合作平台。通过建立海外分校和鲁班工坊，将具有财经特色的“陕财标准”输出“一带一路”沿线国家和发展中国家，为教师提供学习国际先进教育理念、参与和研究国际问题的平台，每年选派教师参加海外研修、培训及学术交流等。实施双语教师培养计划，支持骨干教师参与国内外研讨，不断提升教师国际化素养。三是校企共建“双师型”教师培养培训基地。依托京东集团、洲际集团等多家知名合作企业，共建大数据与会计、市场营销、金融科技应用等专业群“双师型”教师培养培训基地。四是打造教学名师、大师工作室。在建设贺兴文大师工作室的同时，依托省级教学名师和职教名师，打造校级名师工作室、会计名家工作室等。充分发挥名师工作室、大师工作室在成员自我提升、教学引领、课题研究、教师培养、教学创新团队建设等方面的作用。</w:t>
      </w:r>
    </w:p>
    <w:p>
      <w:pPr>
        <w:spacing w:line="560" w:lineRule="exact"/>
        <w:rPr>
          <w:rFonts w:ascii="仿宋" w:hAnsi="仿宋" w:eastAsia="仿宋" w:cs="宋体"/>
          <w:bCs/>
          <w:sz w:val="32"/>
          <w:szCs w:val="32"/>
        </w:rPr>
      </w:pPr>
    </w:p>
    <w:p>
      <w:pPr>
        <w:spacing w:line="560" w:lineRule="exact"/>
        <w:rPr>
          <w:rFonts w:ascii="仿宋" w:hAnsi="仿宋" w:eastAsia="仿宋" w:cs="宋体"/>
          <w:bCs/>
          <w:sz w:val="32"/>
          <w:szCs w:val="32"/>
        </w:rPr>
      </w:pPr>
    </w:p>
    <w:p>
      <w:pPr>
        <w:spacing w:line="560" w:lineRule="exact"/>
        <w:rPr>
          <w:rFonts w:ascii="仿宋" w:hAnsi="仿宋" w:eastAsia="仿宋" w:cs="宋体"/>
          <w:bCs/>
          <w:sz w:val="32"/>
          <w:szCs w:val="32"/>
        </w:rPr>
      </w:pPr>
    </w:p>
    <w:p>
      <w:pPr>
        <w:spacing w:line="560" w:lineRule="exact"/>
        <w:ind w:firstLine="4480" w:firstLineChars="1400"/>
        <w:rPr>
          <w:rFonts w:ascii="仿宋" w:hAnsi="仿宋" w:eastAsia="仿宋" w:cs="宋体"/>
          <w:bCs/>
          <w:sz w:val="32"/>
          <w:szCs w:val="32"/>
        </w:rPr>
      </w:pPr>
      <w:r>
        <w:rPr>
          <w:rFonts w:hint="eastAsia" w:ascii="仿宋" w:hAnsi="仿宋" w:eastAsia="仿宋" w:cs="宋体"/>
          <w:bCs/>
          <w:sz w:val="32"/>
          <w:szCs w:val="32"/>
        </w:rPr>
        <w:t>陕西财经职业技术学院</w:t>
      </w:r>
    </w:p>
    <w:p>
      <w:pPr>
        <w:spacing w:line="560" w:lineRule="exact"/>
        <w:ind w:firstLine="4800" w:firstLineChars="1500"/>
        <w:rPr>
          <w:rFonts w:ascii="仿宋" w:hAnsi="仿宋" w:eastAsia="仿宋" w:cs="宋体"/>
          <w:bCs/>
          <w:sz w:val="32"/>
          <w:szCs w:val="32"/>
        </w:rPr>
      </w:pPr>
      <w:r>
        <w:rPr>
          <w:rFonts w:ascii="仿宋" w:hAnsi="仿宋" w:eastAsia="仿宋" w:cs="宋体"/>
          <w:bCs/>
          <w:sz w:val="32"/>
          <w:szCs w:val="32"/>
        </w:rPr>
        <w:t>2022年11月17日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Y3MWI5Njc0YzQzMTU1ODUwYWQ3M2ViMDExOGU2Y2EifQ=="/>
  </w:docVars>
  <w:rsids>
    <w:rsidRoot w:val="00664F89"/>
    <w:rsid w:val="00003B8D"/>
    <w:rsid w:val="00020BCD"/>
    <w:rsid w:val="00024C71"/>
    <w:rsid w:val="0009232E"/>
    <w:rsid w:val="00097C3F"/>
    <w:rsid w:val="000B304A"/>
    <w:rsid w:val="000C1128"/>
    <w:rsid w:val="000D608A"/>
    <w:rsid w:val="000E4204"/>
    <w:rsid w:val="000E4C44"/>
    <w:rsid w:val="0011012D"/>
    <w:rsid w:val="00114411"/>
    <w:rsid w:val="00121CF3"/>
    <w:rsid w:val="001378E0"/>
    <w:rsid w:val="001559A1"/>
    <w:rsid w:val="00170CAF"/>
    <w:rsid w:val="00176B59"/>
    <w:rsid w:val="00181A90"/>
    <w:rsid w:val="0018210A"/>
    <w:rsid w:val="001857E3"/>
    <w:rsid w:val="00185F85"/>
    <w:rsid w:val="001A07CA"/>
    <w:rsid w:val="001E7B24"/>
    <w:rsid w:val="0020199A"/>
    <w:rsid w:val="00203274"/>
    <w:rsid w:val="00230BDB"/>
    <w:rsid w:val="00235202"/>
    <w:rsid w:val="0024516C"/>
    <w:rsid w:val="002D3090"/>
    <w:rsid w:val="002F0E98"/>
    <w:rsid w:val="00373375"/>
    <w:rsid w:val="003A5DFF"/>
    <w:rsid w:val="003C4148"/>
    <w:rsid w:val="003E0DF1"/>
    <w:rsid w:val="00400B4F"/>
    <w:rsid w:val="00447419"/>
    <w:rsid w:val="004944CC"/>
    <w:rsid w:val="004C1CA8"/>
    <w:rsid w:val="004C3650"/>
    <w:rsid w:val="004C6163"/>
    <w:rsid w:val="004F4A84"/>
    <w:rsid w:val="00527A2E"/>
    <w:rsid w:val="005623E9"/>
    <w:rsid w:val="005656FC"/>
    <w:rsid w:val="005858BA"/>
    <w:rsid w:val="005A6D6F"/>
    <w:rsid w:val="005B60FA"/>
    <w:rsid w:val="005C537E"/>
    <w:rsid w:val="00612D52"/>
    <w:rsid w:val="006219E1"/>
    <w:rsid w:val="00641BE4"/>
    <w:rsid w:val="00651296"/>
    <w:rsid w:val="00664F89"/>
    <w:rsid w:val="006737A4"/>
    <w:rsid w:val="00692C88"/>
    <w:rsid w:val="006A2AAA"/>
    <w:rsid w:val="006D21D1"/>
    <w:rsid w:val="006D690F"/>
    <w:rsid w:val="0071220D"/>
    <w:rsid w:val="00713D00"/>
    <w:rsid w:val="007251EF"/>
    <w:rsid w:val="007629C7"/>
    <w:rsid w:val="00770387"/>
    <w:rsid w:val="007A291F"/>
    <w:rsid w:val="007C1CD8"/>
    <w:rsid w:val="007C4996"/>
    <w:rsid w:val="007E2F64"/>
    <w:rsid w:val="007E6DDB"/>
    <w:rsid w:val="007E78AD"/>
    <w:rsid w:val="007F62ED"/>
    <w:rsid w:val="00805B28"/>
    <w:rsid w:val="008070FB"/>
    <w:rsid w:val="008705C3"/>
    <w:rsid w:val="00876514"/>
    <w:rsid w:val="00880593"/>
    <w:rsid w:val="00897C28"/>
    <w:rsid w:val="008A7AA5"/>
    <w:rsid w:val="008C7F8A"/>
    <w:rsid w:val="008D6077"/>
    <w:rsid w:val="008F72BC"/>
    <w:rsid w:val="0090123D"/>
    <w:rsid w:val="00907297"/>
    <w:rsid w:val="00934141"/>
    <w:rsid w:val="00945B39"/>
    <w:rsid w:val="009C6FD3"/>
    <w:rsid w:val="00A06763"/>
    <w:rsid w:val="00A32140"/>
    <w:rsid w:val="00A46AAF"/>
    <w:rsid w:val="00A47789"/>
    <w:rsid w:val="00A5412A"/>
    <w:rsid w:val="00A575E9"/>
    <w:rsid w:val="00A651BE"/>
    <w:rsid w:val="00A85505"/>
    <w:rsid w:val="00AB6B48"/>
    <w:rsid w:val="00AD01EA"/>
    <w:rsid w:val="00AE68F9"/>
    <w:rsid w:val="00B37978"/>
    <w:rsid w:val="00B6658A"/>
    <w:rsid w:val="00B808D3"/>
    <w:rsid w:val="00B84574"/>
    <w:rsid w:val="00B87B48"/>
    <w:rsid w:val="00C11B9A"/>
    <w:rsid w:val="00C14330"/>
    <w:rsid w:val="00C143F5"/>
    <w:rsid w:val="00C26AA1"/>
    <w:rsid w:val="00C555C4"/>
    <w:rsid w:val="00C752D0"/>
    <w:rsid w:val="00C826AE"/>
    <w:rsid w:val="00CA39EC"/>
    <w:rsid w:val="00CD3960"/>
    <w:rsid w:val="00CE166B"/>
    <w:rsid w:val="00D07CE1"/>
    <w:rsid w:val="00D12BD9"/>
    <w:rsid w:val="00D26A6B"/>
    <w:rsid w:val="00D343AD"/>
    <w:rsid w:val="00D45CB9"/>
    <w:rsid w:val="00D51A61"/>
    <w:rsid w:val="00D5565C"/>
    <w:rsid w:val="00DB7D4F"/>
    <w:rsid w:val="00DE351D"/>
    <w:rsid w:val="00DE4931"/>
    <w:rsid w:val="00DE4D6D"/>
    <w:rsid w:val="00DE567C"/>
    <w:rsid w:val="00E346EF"/>
    <w:rsid w:val="00E34E2E"/>
    <w:rsid w:val="00E564BE"/>
    <w:rsid w:val="00E82C09"/>
    <w:rsid w:val="00E84B6C"/>
    <w:rsid w:val="00E94BCC"/>
    <w:rsid w:val="00EA49F3"/>
    <w:rsid w:val="00EA5208"/>
    <w:rsid w:val="00EA7FB6"/>
    <w:rsid w:val="00EE30CA"/>
    <w:rsid w:val="00F3205F"/>
    <w:rsid w:val="00F35253"/>
    <w:rsid w:val="00F44919"/>
    <w:rsid w:val="00F7193E"/>
    <w:rsid w:val="00F772D3"/>
    <w:rsid w:val="00F84BDD"/>
    <w:rsid w:val="00F85A17"/>
    <w:rsid w:val="00F9359D"/>
    <w:rsid w:val="00FB6438"/>
    <w:rsid w:val="00FD12B9"/>
    <w:rsid w:val="00FE7F83"/>
    <w:rsid w:val="00FF4577"/>
    <w:rsid w:val="5A124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3"/>
    <w:basedOn w:val="1"/>
    <w:next w:val="1"/>
    <w:link w:val="10"/>
    <w:unhideWhenUsed/>
    <w:qFormat/>
    <w:uiPriority w:val="0"/>
    <w:pPr>
      <w:keepNext/>
      <w:keepLines/>
      <w:spacing w:line="480" w:lineRule="auto"/>
      <w:ind w:firstLine="640" w:firstLineChars="200"/>
      <w:outlineLvl w:val="2"/>
    </w:pPr>
    <w:rPr>
      <w:rFonts w:eastAsia="黑体"/>
      <w:b/>
      <w:sz w:val="28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1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字符"/>
    <w:basedOn w:val="7"/>
    <w:link w:val="5"/>
    <w:uiPriority w:val="99"/>
    <w:rPr>
      <w:sz w:val="18"/>
      <w:szCs w:val="18"/>
    </w:rPr>
  </w:style>
  <w:style w:type="character" w:customStyle="1" w:styleId="9">
    <w:name w:val="页脚 字符"/>
    <w:basedOn w:val="7"/>
    <w:link w:val="4"/>
    <w:uiPriority w:val="99"/>
    <w:rPr>
      <w:sz w:val="18"/>
      <w:szCs w:val="18"/>
    </w:rPr>
  </w:style>
  <w:style w:type="character" w:customStyle="1" w:styleId="10">
    <w:name w:val="标题 3 字符"/>
    <w:basedOn w:val="7"/>
    <w:link w:val="2"/>
    <w:qFormat/>
    <w:uiPriority w:val="0"/>
    <w:rPr>
      <w:rFonts w:eastAsia="黑体"/>
      <w:b/>
      <w:sz w:val="28"/>
    </w:rPr>
  </w:style>
  <w:style w:type="character" w:customStyle="1" w:styleId="11">
    <w:name w:val="批注框文本 字符"/>
    <w:basedOn w:val="7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13</Pages>
  <Words>4548</Words>
  <Characters>4595</Characters>
  <Lines>32</Lines>
  <Paragraphs>9</Paragraphs>
  <TotalTime>0</TotalTime>
  <ScaleCrop>false</ScaleCrop>
  <LinksUpToDate>false</LinksUpToDate>
  <CharactersWithSpaces>4596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2022-11-17T03:30:00Z</dcterms:created>
  <dc:creator>微软用户</dc:creator>
  <cp:lastModifiedBy>吴国庆</cp:lastModifiedBy>
  <cp:lastPrinted>2022-11-18T03:08:00Z</cp:lastPrinted>
  <dcterms:modified xsi:type="dcterms:W3CDTF">2023-05-08T06:50:23Z</dcterms:modified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AA2F44B6133F44CFA5D7CE6EE8F6AFA5_12</vt:lpwstr>
  </property>
</Properties>
</file>