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pPr>
      <w:r>
        <w:rPr>
          <w:sz w:val="24"/>
        </w:rPr>
        <w:drawing>
          <wp:anchor distT="0" distB="0" distL="114300" distR="114300" simplePos="0" relativeHeight="251661312" behindDoc="0" locked="0" layoutInCell="1" allowOverlap="1">
            <wp:simplePos x="0" y="0"/>
            <wp:positionH relativeFrom="column">
              <wp:posOffset>147320</wp:posOffset>
            </wp:positionH>
            <wp:positionV relativeFrom="page">
              <wp:posOffset>1504950</wp:posOffset>
            </wp:positionV>
            <wp:extent cx="4884420" cy="3881120"/>
            <wp:effectExtent l="0" t="0" r="11430" b="5080"/>
            <wp:wrapNone/>
            <wp:docPr id="29" name="图片 29" descr="封面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封面图片"/>
                    <pic:cNvPicPr>
                      <a:picLocks noChangeAspect="1"/>
                    </pic:cNvPicPr>
                  </pic:nvPicPr>
                  <pic:blipFill>
                    <a:blip r:embed="rId7"/>
                    <a:stretch>
                      <a:fillRect/>
                    </a:stretch>
                  </pic:blipFill>
                  <pic:spPr>
                    <a:xfrm>
                      <a:off x="0" y="0"/>
                      <a:ext cx="4884420" cy="3881120"/>
                    </a:xfrm>
                    <a:prstGeom prst="rect">
                      <a:avLst/>
                    </a:prstGeom>
                  </pic:spPr>
                </pic:pic>
              </a:graphicData>
            </a:graphic>
          </wp:anchor>
        </w:drawing>
      </w:r>
      <w:r>
        <w:drawing>
          <wp:anchor distT="0" distB="0" distL="114300" distR="114300" simplePos="0" relativeHeight="251659264" behindDoc="0" locked="0" layoutInCell="1" allowOverlap="1">
            <wp:simplePos x="0" y="0"/>
            <wp:positionH relativeFrom="column">
              <wp:posOffset>-762000</wp:posOffset>
            </wp:positionH>
            <wp:positionV relativeFrom="paragraph">
              <wp:posOffset>-259715</wp:posOffset>
            </wp:positionV>
            <wp:extent cx="2559685" cy="637540"/>
            <wp:effectExtent l="0" t="0" r="12065" b="10160"/>
            <wp:wrapTopAndBottom/>
            <wp:docPr id="2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
                    <pic:cNvPicPr>
                      <a:picLocks noChangeAspect="1"/>
                    </pic:cNvPicPr>
                  </pic:nvPicPr>
                  <pic:blipFill>
                    <a:blip r:embed="rId8"/>
                    <a:stretch>
                      <a:fillRect/>
                    </a:stretch>
                  </pic:blipFill>
                  <pic:spPr>
                    <a:xfrm>
                      <a:off x="0" y="0"/>
                      <a:ext cx="2559685" cy="637540"/>
                    </a:xfrm>
                    <a:prstGeom prst="rect">
                      <a:avLst/>
                    </a:prstGeom>
                    <a:noFill/>
                    <a:ln>
                      <a:noFill/>
                    </a:ln>
                  </pic:spPr>
                </pic:pic>
              </a:graphicData>
            </a:graphic>
          </wp:anchor>
        </w:drawing>
      </w:r>
    </w:p>
    <w:p>
      <w:pPr>
        <w:spacing w:line="600" w:lineRule="exact"/>
      </w:pPr>
    </w:p>
    <w:p>
      <w:pPr>
        <w:spacing w:line="600" w:lineRule="exact"/>
        <w:rPr>
          <w:rFonts w:ascii="黑体" w:hAnsi="黑体" w:eastAsia="黑体" w:cs="黑体"/>
          <w:b/>
          <w:bCs/>
          <w:sz w:val="32"/>
          <w:szCs w:val="32"/>
        </w:rPr>
      </w:pPr>
    </w:p>
    <w:p>
      <w:pPr>
        <w:spacing w:line="600" w:lineRule="exact"/>
        <w:jc w:val="center"/>
        <w:rPr>
          <w:rFonts w:ascii="黑体" w:hAnsi="黑体" w:eastAsia="黑体" w:cs="黑体"/>
          <w:b/>
          <w:bCs/>
          <w:sz w:val="32"/>
          <w:szCs w:val="32"/>
        </w:rPr>
        <w:sectPr>
          <w:footerReference r:id="rId3" w:type="default"/>
          <w:pgSz w:w="11906" w:h="16838"/>
          <w:pgMar w:top="1270" w:right="1800" w:bottom="1440" w:left="1800" w:header="851" w:footer="992" w:gutter="0"/>
          <w:cols w:space="425" w:num="1"/>
          <w:docGrid w:type="lines" w:linePitch="312" w:charSpace="0"/>
        </w:sectPr>
      </w:pPr>
      <w:bookmarkStart w:id="10" w:name="_GoBack"/>
      <w:bookmarkEnd w:id="10"/>
      <w:r>
        <mc:AlternateContent>
          <mc:Choice Requires="wps">
            <w:drawing>
              <wp:anchor distT="0" distB="0" distL="114300" distR="114300" simplePos="0" relativeHeight="251662336" behindDoc="0" locked="0" layoutInCell="1" allowOverlap="1">
                <wp:simplePos x="0" y="0"/>
                <wp:positionH relativeFrom="column">
                  <wp:posOffset>-848360</wp:posOffset>
                </wp:positionH>
                <wp:positionV relativeFrom="paragraph">
                  <wp:posOffset>3314700</wp:posOffset>
                </wp:positionV>
                <wp:extent cx="6877050" cy="3906520"/>
                <wp:effectExtent l="0" t="0" r="0" b="0"/>
                <wp:wrapNone/>
                <wp:docPr id="1" name="文本框 11" descr="7b0a2020202022776f7264617274223a20227b5c2269645c223a32353030343631322c5c227469645c223a31333631327d220a7d0a"/>
                <wp:cNvGraphicFramePr/>
                <a:graphic xmlns:a="http://schemas.openxmlformats.org/drawingml/2006/main">
                  <a:graphicData uri="http://schemas.microsoft.com/office/word/2010/wordprocessingShape">
                    <wps:wsp>
                      <wps:cNvSpPr txBox="1"/>
                      <wps:spPr>
                        <a:xfrm>
                          <a:off x="0" y="0"/>
                          <a:ext cx="6877050" cy="3906520"/>
                        </a:xfrm>
                        <a:prstGeom prst="rect">
                          <a:avLst/>
                        </a:prstGeom>
                        <a:noFill/>
                        <a:ln>
                          <a:noFill/>
                        </a:ln>
                      </wps:spPr>
                      <wps:txbx>
                        <w:txbxContent>
                          <w:p>
                            <w:pPr>
                              <w:spacing w:line="600" w:lineRule="exact"/>
                              <w:jc w:val="center"/>
                              <w:rPr>
                                <w:rFonts w:ascii="汉仪程行简" w:hAnsi="汉仪程行简" w:eastAsia="汉仪中宋简" w:cs="汉仪程行简"/>
                                <w:color w:val="70AD47"/>
                                <w:sz w:val="52"/>
                                <w:szCs w:val="52"/>
                                <w14:glow w14:rad="38100">
                                  <w14:schemeClr w14:val="accent1">
                                    <w14:alpha w14:val="60000"/>
                                  </w14:schemeClr>
                                </w14:glow>
                                <w14:textOutline w14:w="9525" w14:cap="flat" w14:cmpd="sng" w14:algn="ctr">
                                  <w14:solidFill>
                                    <w14:schemeClr w14:val="accent1"/>
                                  </w14:solidFill>
                                  <w14:prstDash w14:val="solid"/>
                                  <w14:round/>
                                </w14:textOutline>
                                <w14:textFill>
                                  <w14:gradFill>
                                    <w14:gsLst>
                                      <w14:gs w14:pos="0">
                                        <w14:srgbClr w14:val="007BD3"/>
                                      </w14:gs>
                                      <w14:gs w14:pos="100000">
                                        <w14:srgbClr w14:val="034373"/>
                                      </w14:gs>
                                    </w14:gsLst>
                                    <w14:lin w14:ang="0" w14:scaled="0"/>
                                  </w14:gradFill>
                                </w14:textFill>
                                <w14:props3d w14:extrusionH="0" w14:contourW="0" w14:prstMaterial="clear"/>
                              </w:rPr>
                            </w:pPr>
                            <w:r>
                              <w:rPr>
                                <w:rFonts w:ascii="汉仪程行简" w:hAnsi="汉仪程行简" w:eastAsia="汉仪中宋简" w:cs="汉仪程行简"/>
                                <w:color w:val="70AD47"/>
                                <w:sz w:val="52"/>
                                <w:szCs w:val="52"/>
                                <w14:glow w14:rad="38100">
                                  <w14:schemeClr w14:val="accent1">
                                    <w14:alpha w14:val="60000"/>
                                  </w14:schemeClr>
                                </w14:glow>
                                <w14:textOutline w14:w="9525" w14:cap="flat" w14:cmpd="sng" w14:algn="ctr">
                                  <w14:solidFill>
                                    <w14:schemeClr w14:val="accent1"/>
                                  </w14:solidFill>
                                  <w14:prstDash w14:val="solid"/>
                                  <w14:round/>
                                </w14:textOutline>
                                <w14:textFill>
                                  <w14:gradFill>
                                    <w14:gsLst>
                                      <w14:gs w14:pos="0">
                                        <w14:srgbClr w14:val="007BD3"/>
                                      </w14:gs>
                                      <w14:gs w14:pos="100000">
                                        <w14:srgbClr w14:val="034373"/>
                                      </w14:gs>
                                    </w14:gsLst>
                                    <w14:lin w14:ang="0" w14:scaled="0"/>
                                  </w14:gradFill>
                                </w14:textFill>
                                <w14:props3d w14:extrusionH="0" w14:contourW="0" w14:prstMaterial="clear"/>
                              </w:rPr>
                              <w:t>实施“一引领、两中心、四工程”，</w:t>
                            </w:r>
                          </w:p>
                          <w:p>
                            <w:pPr>
                              <w:pStyle w:val="2"/>
                              <w:ind w:firstLine="200"/>
                              <w:rPr>
                                <w:rFonts w:ascii="汉仪程行简" w:hAnsi="汉仪程行简" w:eastAsia="汉仪中宋简" w:cs="汉仪程行简"/>
                                <w:color w:val="70AD47"/>
                                <w14:glow w14:rad="38100">
                                  <w14:schemeClr w14:val="accent1">
                                    <w14:alpha w14:val="60000"/>
                                  </w14:schemeClr>
                                </w14:glow>
                                <w14:textOutline w14:w="9525" w14:cap="flat" w14:cmpd="sng" w14:algn="ctr">
                                  <w14:solidFill>
                                    <w14:schemeClr w14:val="accent1"/>
                                  </w14:solidFill>
                                  <w14:prstDash w14:val="solid"/>
                                  <w14:round/>
                                </w14:textOutline>
                                <w14:textFill>
                                  <w14:gradFill>
                                    <w14:gsLst>
                                      <w14:gs w14:pos="0">
                                        <w14:srgbClr w14:val="007BD3"/>
                                      </w14:gs>
                                      <w14:gs w14:pos="100000">
                                        <w14:srgbClr w14:val="034373"/>
                                      </w14:gs>
                                    </w14:gsLst>
                                    <w14:lin w14:ang="0" w14:scaled="0"/>
                                  </w14:gradFill>
                                </w14:textFill>
                                <w14:props3d w14:extrusionH="0" w14:contourW="0" w14:prstMaterial="clear"/>
                              </w:rPr>
                            </w:pPr>
                          </w:p>
                          <w:p>
                            <w:pPr>
                              <w:spacing w:line="600" w:lineRule="exact"/>
                              <w:jc w:val="center"/>
                              <w:rPr>
                                <w:rFonts w:ascii="汉仪程行简" w:hAnsi="汉仪程行简" w:eastAsia="汉仪中宋简" w:cs="汉仪程行简"/>
                                <w:color w:val="70AD47"/>
                                <w:sz w:val="52"/>
                                <w:szCs w:val="52"/>
                                <w14:glow w14:rad="38100">
                                  <w14:schemeClr w14:val="accent1">
                                    <w14:alpha w14:val="60000"/>
                                  </w14:schemeClr>
                                </w14:glow>
                                <w14:textOutline w14:w="9525" w14:cap="flat" w14:cmpd="sng" w14:algn="ctr">
                                  <w14:solidFill>
                                    <w14:schemeClr w14:val="accent1"/>
                                  </w14:solidFill>
                                  <w14:prstDash w14:val="solid"/>
                                  <w14:round/>
                                </w14:textOutline>
                                <w14:textFill>
                                  <w14:gradFill>
                                    <w14:gsLst>
                                      <w14:gs w14:pos="0">
                                        <w14:srgbClr w14:val="007BD3"/>
                                      </w14:gs>
                                      <w14:gs w14:pos="100000">
                                        <w14:srgbClr w14:val="034373"/>
                                      </w14:gs>
                                    </w14:gsLst>
                                    <w14:lin w14:ang="0" w14:scaled="0"/>
                                  </w14:gradFill>
                                </w14:textFill>
                                <w14:props3d w14:extrusionH="0" w14:contourW="0" w14:prstMaterial="clear"/>
                              </w:rPr>
                            </w:pPr>
                            <w:r>
                              <w:rPr>
                                <w:rFonts w:hint="eastAsia" w:ascii="汉仪程行简" w:hAnsi="汉仪程行简" w:eastAsia="汉仪中宋简" w:cs="汉仪程行简"/>
                                <w:color w:val="70AD47"/>
                                <w:sz w:val="52"/>
                                <w:szCs w:val="52"/>
                                <w14:glow w14:rad="38100">
                                  <w14:schemeClr w14:val="accent1">
                                    <w14:alpha w14:val="60000"/>
                                  </w14:schemeClr>
                                </w14:glow>
                                <w14:textOutline w14:w="9525" w14:cap="flat" w14:cmpd="sng" w14:algn="ctr">
                                  <w14:solidFill>
                                    <w14:schemeClr w14:val="accent1"/>
                                  </w14:solidFill>
                                  <w14:prstDash w14:val="solid"/>
                                  <w14:round/>
                                </w14:textOutline>
                                <w14:textFill>
                                  <w14:gradFill>
                                    <w14:gsLst>
                                      <w14:gs w14:pos="0">
                                        <w14:srgbClr w14:val="007BD3"/>
                                      </w14:gs>
                                      <w14:gs w14:pos="100000">
                                        <w14:srgbClr w14:val="034373"/>
                                      </w14:gs>
                                    </w14:gsLst>
                                    <w14:lin w14:ang="0" w14:scaled="0"/>
                                  </w14:gradFill>
                                </w14:textFill>
                                <w14:props3d w14:extrusionH="0" w14:contourW="0" w14:prstMaterial="clear"/>
                              </w:rPr>
                              <w:t xml:space="preserve">       </w:t>
                            </w:r>
                            <w:r>
                              <w:rPr>
                                <w:rFonts w:ascii="汉仪程行简" w:hAnsi="汉仪程行简" w:eastAsia="汉仪中宋简" w:cs="汉仪程行简"/>
                                <w:color w:val="70AD47"/>
                                <w:sz w:val="52"/>
                                <w:szCs w:val="52"/>
                                <w14:glow w14:rad="38100">
                                  <w14:schemeClr w14:val="accent1">
                                    <w14:alpha w14:val="60000"/>
                                  </w14:schemeClr>
                                </w14:glow>
                                <w14:textOutline w14:w="9525" w14:cap="flat" w14:cmpd="sng" w14:algn="ctr">
                                  <w14:solidFill>
                                    <w14:schemeClr w14:val="accent1"/>
                                  </w14:solidFill>
                                  <w14:prstDash w14:val="solid"/>
                                  <w14:round/>
                                </w14:textOutline>
                                <w14:textFill>
                                  <w14:gradFill>
                                    <w14:gsLst>
                                      <w14:gs w14:pos="0">
                                        <w14:srgbClr w14:val="007BD3"/>
                                      </w14:gs>
                                      <w14:gs w14:pos="100000">
                                        <w14:srgbClr w14:val="034373"/>
                                      </w14:gs>
                                    </w14:gsLst>
                                    <w14:lin w14:ang="0" w14:scaled="0"/>
                                  </w14:gradFill>
                                </w14:textFill>
                                <w14:props3d w14:extrusionH="0" w14:contourW="0" w14:prstMaterial="clear"/>
                              </w:rPr>
                              <w:t>打造高素质“双师型”教师队伍</w:t>
                            </w:r>
                          </w:p>
                          <w:p>
                            <w:pPr>
                              <w:spacing w:line="600" w:lineRule="exact"/>
                              <w:jc w:val="right"/>
                              <w:rPr>
                                <w:rFonts w:ascii="楷体" w:hAnsi="楷体" w:eastAsia="楷体" w:cs="楷体"/>
                                <w:sz w:val="32"/>
                                <w:szCs w:val="32"/>
                              </w:rPr>
                            </w:pPr>
                          </w:p>
                          <w:p>
                            <w:pPr>
                              <w:spacing w:line="600" w:lineRule="exact"/>
                              <w:jc w:val="right"/>
                              <w:rPr>
                                <w:rFonts w:ascii="楷体" w:hAnsi="楷体" w:eastAsia="楷体" w:cs="楷体"/>
                                <w:sz w:val="32"/>
                                <w:szCs w:val="32"/>
                              </w:rPr>
                            </w:pPr>
                          </w:p>
                          <w:p>
                            <w:pPr>
                              <w:spacing w:line="600" w:lineRule="exact"/>
                              <w:jc w:val="right"/>
                              <w:rPr>
                                <w:rFonts w:ascii="楷体" w:hAnsi="楷体" w:eastAsia="楷体" w:cs="楷体"/>
                                <w:b/>
                                <w:bCs/>
                                <w:sz w:val="44"/>
                                <w:szCs w:val="44"/>
                              </w:rPr>
                            </w:pPr>
                            <w:r>
                              <w:rPr>
                                <w:rFonts w:hint="eastAsia" w:ascii="楷体" w:hAnsi="楷体" w:eastAsia="楷体" w:cs="楷体"/>
                                <w:b/>
                                <w:bCs/>
                                <w:sz w:val="44"/>
                                <w:szCs w:val="44"/>
                              </w:rPr>
                              <w:t>——福建理工学校教师队伍建设典型案例</w:t>
                            </w:r>
                          </w:p>
                          <w:p/>
                          <w:p>
                            <w:pPr>
                              <w:pStyle w:val="2"/>
                              <w:ind w:firstLine="200"/>
                            </w:pPr>
                          </w:p>
                          <w:p>
                            <w:pPr>
                              <w:pStyle w:val="2"/>
                              <w:ind w:firstLine="200"/>
                            </w:pPr>
                          </w:p>
                          <w:p>
                            <w:pPr>
                              <w:spacing w:line="600" w:lineRule="exact"/>
                              <w:jc w:val="center"/>
                              <w:rPr>
                                <w:rFonts w:ascii="楷体" w:hAnsi="楷体" w:eastAsia="楷体" w:cs="楷体"/>
                                <w:b/>
                                <w:bCs/>
                                <w:sz w:val="44"/>
                                <w:szCs w:val="44"/>
                              </w:rPr>
                            </w:pPr>
                          </w:p>
                        </w:txbxContent>
                      </wps:txbx>
                      <wps:bodyPr wrap="square">
                        <a:noAutofit/>
                      </wps:bodyPr>
                    </wps:wsp>
                  </a:graphicData>
                </a:graphic>
              </wp:anchor>
            </w:drawing>
          </mc:Choice>
          <mc:Fallback>
            <w:pict>
              <v:shape id="文本框 11" o:spid="_x0000_s1026" o:spt="202" alt="7b0a2020202022776f7264617274223a20227b5c2269645c223a32353030343631322c5c227469645c223a31333631327d220a7d0a" type="#_x0000_t202" style="position:absolute;left:0pt;margin-left:-66.8pt;margin-top:261pt;height:307.6pt;width:541.5pt;z-index:251662336;mso-width-relative:page;mso-height-relative:page;" filled="f" stroked="f" coordsize="21600,21600" o:gfxdata="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RHC+AtoAAAANAQAADwAAAAAAAAABACAAAAAiAAAAZHJz&#10;L2Rvd25yZXYueG1sUEsBAhQAFAAAAAgAh07iQC3mReECAgAA3wMAAA4AAAAAAAAAAQAgAAAAKQEA&#10;AGRycy9lMm9Eb2MueG1sUEsFBgAAAAAGAAYAWQEAAJ0FAAAAAA==&#10;">
                <v:fill on="f" focussize="0,0"/>
                <v:stroke on="f"/>
                <v:imagedata o:title=""/>
                <o:lock v:ext="edit" aspectratio="f"/>
                <v:textbox>
                  <w:txbxContent>
                    <w:p>
                      <w:pPr>
                        <w:spacing w:line="600" w:lineRule="exact"/>
                        <w:jc w:val="center"/>
                        <w:rPr>
                          <w:rFonts w:ascii="汉仪程行简" w:hAnsi="汉仪程行简" w:eastAsia="汉仪中宋简" w:cs="汉仪程行简"/>
                          <w:color w:val="70AD47"/>
                          <w:sz w:val="52"/>
                          <w:szCs w:val="52"/>
                          <w14:glow w14:rad="38100">
                            <w14:schemeClr w14:val="accent1">
                              <w14:alpha w14:val="60000"/>
                            </w14:schemeClr>
                          </w14:glow>
                          <w14:textOutline w14:w="9525" w14:cap="flat" w14:cmpd="sng" w14:algn="ctr">
                            <w14:solidFill>
                              <w14:schemeClr w14:val="accent1"/>
                            </w14:solidFill>
                            <w14:prstDash w14:val="solid"/>
                            <w14:round/>
                          </w14:textOutline>
                          <w14:textFill>
                            <w14:gradFill>
                              <w14:gsLst>
                                <w14:gs w14:pos="0">
                                  <w14:srgbClr w14:val="007BD3"/>
                                </w14:gs>
                                <w14:gs w14:pos="100000">
                                  <w14:srgbClr w14:val="034373"/>
                                </w14:gs>
                              </w14:gsLst>
                              <w14:lin w14:ang="0" w14:scaled="0"/>
                            </w14:gradFill>
                          </w14:textFill>
                          <w14:props3d w14:extrusionH="0" w14:contourW="0" w14:prstMaterial="clear"/>
                        </w:rPr>
                      </w:pPr>
                      <w:r>
                        <w:rPr>
                          <w:rFonts w:ascii="汉仪程行简" w:hAnsi="汉仪程行简" w:eastAsia="汉仪中宋简" w:cs="汉仪程行简"/>
                          <w:color w:val="70AD47"/>
                          <w:sz w:val="52"/>
                          <w:szCs w:val="52"/>
                          <w14:glow w14:rad="38100">
                            <w14:schemeClr w14:val="accent1">
                              <w14:alpha w14:val="60000"/>
                            </w14:schemeClr>
                          </w14:glow>
                          <w14:textOutline w14:w="9525" w14:cap="flat" w14:cmpd="sng" w14:algn="ctr">
                            <w14:solidFill>
                              <w14:schemeClr w14:val="accent1"/>
                            </w14:solidFill>
                            <w14:prstDash w14:val="solid"/>
                            <w14:round/>
                          </w14:textOutline>
                          <w14:textFill>
                            <w14:gradFill>
                              <w14:gsLst>
                                <w14:gs w14:pos="0">
                                  <w14:srgbClr w14:val="007BD3"/>
                                </w14:gs>
                                <w14:gs w14:pos="100000">
                                  <w14:srgbClr w14:val="034373"/>
                                </w14:gs>
                              </w14:gsLst>
                              <w14:lin w14:ang="0" w14:scaled="0"/>
                            </w14:gradFill>
                          </w14:textFill>
                          <w14:props3d w14:extrusionH="0" w14:contourW="0" w14:prstMaterial="clear"/>
                        </w:rPr>
                        <w:t>实施“一引领、两中心、四工程”，</w:t>
                      </w:r>
                    </w:p>
                    <w:p>
                      <w:pPr>
                        <w:pStyle w:val="2"/>
                        <w:ind w:firstLine="200"/>
                        <w:rPr>
                          <w:rFonts w:ascii="汉仪程行简" w:hAnsi="汉仪程行简" w:eastAsia="汉仪中宋简" w:cs="汉仪程行简"/>
                          <w:color w:val="70AD47"/>
                          <w14:glow w14:rad="38100">
                            <w14:schemeClr w14:val="accent1">
                              <w14:alpha w14:val="60000"/>
                            </w14:schemeClr>
                          </w14:glow>
                          <w14:textOutline w14:w="9525" w14:cap="flat" w14:cmpd="sng" w14:algn="ctr">
                            <w14:solidFill>
                              <w14:schemeClr w14:val="accent1"/>
                            </w14:solidFill>
                            <w14:prstDash w14:val="solid"/>
                            <w14:round/>
                          </w14:textOutline>
                          <w14:textFill>
                            <w14:gradFill>
                              <w14:gsLst>
                                <w14:gs w14:pos="0">
                                  <w14:srgbClr w14:val="007BD3"/>
                                </w14:gs>
                                <w14:gs w14:pos="100000">
                                  <w14:srgbClr w14:val="034373"/>
                                </w14:gs>
                              </w14:gsLst>
                              <w14:lin w14:ang="0" w14:scaled="0"/>
                            </w14:gradFill>
                          </w14:textFill>
                          <w14:props3d w14:extrusionH="0" w14:contourW="0" w14:prstMaterial="clear"/>
                        </w:rPr>
                      </w:pPr>
                    </w:p>
                    <w:p>
                      <w:pPr>
                        <w:spacing w:line="600" w:lineRule="exact"/>
                        <w:jc w:val="center"/>
                        <w:rPr>
                          <w:rFonts w:ascii="汉仪程行简" w:hAnsi="汉仪程行简" w:eastAsia="汉仪中宋简" w:cs="汉仪程行简"/>
                          <w:color w:val="70AD47"/>
                          <w:sz w:val="52"/>
                          <w:szCs w:val="52"/>
                          <w14:glow w14:rad="38100">
                            <w14:schemeClr w14:val="accent1">
                              <w14:alpha w14:val="60000"/>
                            </w14:schemeClr>
                          </w14:glow>
                          <w14:textOutline w14:w="9525" w14:cap="flat" w14:cmpd="sng" w14:algn="ctr">
                            <w14:solidFill>
                              <w14:schemeClr w14:val="accent1"/>
                            </w14:solidFill>
                            <w14:prstDash w14:val="solid"/>
                            <w14:round/>
                          </w14:textOutline>
                          <w14:textFill>
                            <w14:gradFill>
                              <w14:gsLst>
                                <w14:gs w14:pos="0">
                                  <w14:srgbClr w14:val="007BD3"/>
                                </w14:gs>
                                <w14:gs w14:pos="100000">
                                  <w14:srgbClr w14:val="034373"/>
                                </w14:gs>
                              </w14:gsLst>
                              <w14:lin w14:ang="0" w14:scaled="0"/>
                            </w14:gradFill>
                          </w14:textFill>
                          <w14:props3d w14:extrusionH="0" w14:contourW="0" w14:prstMaterial="clear"/>
                        </w:rPr>
                      </w:pPr>
                      <w:r>
                        <w:rPr>
                          <w:rFonts w:hint="eastAsia" w:ascii="汉仪程行简" w:hAnsi="汉仪程行简" w:eastAsia="汉仪中宋简" w:cs="汉仪程行简"/>
                          <w:color w:val="70AD47"/>
                          <w:sz w:val="52"/>
                          <w:szCs w:val="52"/>
                          <w14:glow w14:rad="38100">
                            <w14:schemeClr w14:val="accent1">
                              <w14:alpha w14:val="60000"/>
                            </w14:schemeClr>
                          </w14:glow>
                          <w14:textOutline w14:w="9525" w14:cap="flat" w14:cmpd="sng" w14:algn="ctr">
                            <w14:solidFill>
                              <w14:schemeClr w14:val="accent1"/>
                            </w14:solidFill>
                            <w14:prstDash w14:val="solid"/>
                            <w14:round/>
                          </w14:textOutline>
                          <w14:textFill>
                            <w14:gradFill>
                              <w14:gsLst>
                                <w14:gs w14:pos="0">
                                  <w14:srgbClr w14:val="007BD3"/>
                                </w14:gs>
                                <w14:gs w14:pos="100000">
                                  <w14:srgbClr w14:val="034373"/>
                                </w14:gs>
                              </w14:gsLst>
                              <w14:lin w14:ang="0" w14:scaled="0"/>
                            </w14:gradFill>
                          </w14:textFill>
                          <w14:props3d w14:extrusionH="0" w14:contourW="0" w14:prstMaterial="clear"/>
                        </w:rPr>
                        <w:t xml:space="preserve">       </w:t>
                      </w:r>
                      <w:r>
                        <w:rPr>
                          <w:rFonts w:ascii="汉仪程行简" w:hAnsi="汉仪程行简" w:eastAsia="汉仪中宋简" w:cs="汉仪程行简"/>
                          <w:color w:val="70AD47"/>
                          <w:sz w:val="52"/>
                          <w:szCs w:val="52"/>
                          <w14:glow w14:rad="38100">
                            <w14:schemeClr w14:val="accent1">
                              <w14:alpha w14:val="60000"/>
                            </w14:schemeClr>
                          </w14:glow>
                          <w14:textOutline w14:w="9525" w14:cap="flat" w14:cmpd="sng" w14:algn="ctr">
                            <w14:solidFill>
                              <w14:schemeClr w14:val="accent1"/>
                            </w14:solidFill>
                            <w14:prstDash w14:val="solid"/>
                            <w14:round/>
                          </w14:textOutline>
                          <w14:textFill>
                            <w14:gradFill>
                              <w14:gsLst>
                                <w14:gs w14:pos="0">
                                  <w14:srgbClr w14:val="007BD3"/>
                                </w14:gs>
                                <w14:gs w14:pos="100000">
                                  <w14:srgbClr w14:val="034373"/>
                                </w14:gs>
                              </w14:gsLst>
                              <w14:lin w14:ang="0" w14:scaled="0"/>
                            </w14:gradFill>
                          </w14:textFill>
                          <w14:props3d w14:extrusionH="0" w14:contourW="0" w14:prstMaterial="clear"/>
                        </w:rPr>
                        <w:t>打造高素质“双师型”教师队伍</w:t>
                      </w:r>
                    </w:p>
                    <w:p>
                      <w:pPr>
                        <w:spacing w:line="600" w:lineRule="exact"/>
                        <w:jc w:val="right"/>
                        <w:rPr>
                          <w:rFonts w:ascii="楷体" w:hAnsi="楷体" w:eastAsia="楷体" w:cs="楷体"/>
                          <w:sz w:val="32"/>
                          <w:szCs w:val="32"/>
                        </w:rPr>
                      </w:pPr>
                    </w:p>
                    <w:p>
                      <w:pPr>
                        <w:spacing w:line="600" w:lineRule="exact"/>
                        <w:jc w:val="right"/>
                        <w:rPr>
                          <w:rFonts w:ascii="楷体" w:hAnsi="楷体" w:eastAsia="楷体" w:cs="楷体"/>
                          <w:sz w:val="32"/>
                          <w:szCs w:val="32"/>
                        </w:rPr>
                      </w:pPr>
                    </w:p>
                    <w:p>
                      <w:pPr>
                        <w:spacing w:line="600" w:lineRule="exact"/>
                        <w:jc w:val="right"/>
                        <w:rPr>
                          <w:rFonts w:ascii="楷体" w:hAnsi="楷体" w:eastAsia="楷体" w:cs="楷体"/>
                          <w:b/>
                          <w:bCs/>
                          <w:sz w:val="44"/>
                          <w:szCs w:val="44"/>
                        </w:rPr>
                      </w:pPr>
                      <w:r>
                        <w:rPr>
                          <w:rFonts w:hint="eastAsia" w:ascii="楷体" w:hAnsi="楷体" w:eastAsia="楷体" w:cs="楷体"/>
                          <w:b/>
                          <w:bCs/>
                          <w:sz w:val="44"/>
                          <w:szCs w:val="44"/>
                        </w:rPr>
                        <w:t>——福建理工学校教师队伍建设典型案例</w:t>
                      </w:r>
                    </w:p>
                    <w:p/>
                    <w:p>
                      <w:pPr>
                        <w:pStyle w:val="2"/>
                        <w:ind w:firstLine="200"/>
                      </w:pPr>
                    </w:p>
                    <w:p>
                      <w:pPr>
                        <w:pStyle w:val="2"/>
                        <w:ind w:firstLine="200"/>
                      </w:pPr>
                    </w:p>
                    <w:p>
                      <w:pPr>
                        <w:spacing w:line="600" w:lineRule="exact"/>
                        <w:jc w:val="center"/>
                        <w:rPr>
                          <w:rFonts w:ascii="楷体" w:hAnsi="楷体" w:eastAsia="楷体" w:cs="楷体"/>
                          <w:b/>
                          <w:bCs/>
                          <w:sz w:val="44"/>
                          <w:szCs w:val="44"/>
                        </w:rPr>
                      </w:pPr>
                    </w:p>
                  </w:txbxContent>
                </v:textbox>
              </v:shape>
            </w:pict>
          </mc:Fallback>
        </mc:AlternateContent>
      </w:r>
    </w:p>
    <w:sdt>
      <w:sdtPr>
        <w:rPr>
          <w:rFonts w:ascii="宋体" w:hAnsi="宋体" w:eastAsia="宋体"/>
        </w:rPr>
        <w:id w:val="147458134"/>
        <w15:color w:val="DBDBDB"/>
        <w:docPartObj>
          <w:docPartGallery w:val="Table of Contents"/>
          <w:docPartUnique/>
        </w:docPartObj>
      </w:sdtPr>
      <w:sdtEndPr>
        <w:rPr>
          <w:rFonts w:hint="eastAsia" w:ascii="黑体" w:hAnsi="黑体" w:eastAsia="黑体" w:cs="黑体"/>
          <w:bCs/>
          <w:color w:val="000000"/>
          <w:kern w:val="0"/>
          <w:sz w:val="20"/>
          <w:szCs w:val="32"/>
        </w:rPr>
      </w:sdtEndPr>
      <w:sdtContent>
        <w:p>
          <w:pPr>
            <w:jc w:val="center"/>
            <w:rPr>
              <w:rFonts w:ascii="宋体" w:hAnsi="宋体" w:eastAsia="宋体"/>
            </w:rPr>
          </w:pPr>
        </w:p>
        <w:p>
          <w:pPr>
            <w:jc w:val="center"/>
            <w:rPr>
              <w:rFonts w:ascii="宋体" w:hAnsi="宋体" w:eastAsia="宋体"/>
              <w:b/>
              <w:bCs/>
              <w:sz w:val="48"/>
              <w:szCs w:val="48"/>
            </w:rPr>
          </w:pPr>
          <w:r>
            <w:rPr>
              <w:rFonts w:ascii="宋体" w:hAnsi="宋体" w:eastAsia="宋体"/>
              <w:b/>
              <w:bCs/>
              <w:sz w:val="48"/>
              <w:szCs w:val="48"/>
            </w:rPr>
            <w:t>目录</w:t>
          </w:r>
        </w:p>
        <w:p>
          <w:pPr>
            <w:pStyle w:val="2"/>
            <w:ind w:firstLine="200"/>
          </w:pPr>
        </w:p>
        <w:p>
          <w:pPr>
            <w:pStyle w:val="7"/>
            <w:tabs>
              <w:tab w:val="right" w:leader="dot" w:pos="8306"/>
            </w:tabs>
            <w:spacing w:line="800" w:lineRule="exact"/>
            <w:rPr>
              <w:sz w:val="30"/>
              <w:szCs w:val="30"/>
            </w:rPr>
          </w:pPr>
          <w:r>
            <w:rPr>
              <w:rFonts w:hint="eastAsia" w:ascii="黑体" w:hAnsi="黑体" w:eastAsia="黑体" w:cs="黑体"/>
              <w:b/>
              <w:bCs/>
              <w:sz w:val="30"/>
              <w:szCs w:val="30"/>
            </w:rPr>
            <w:fldChar w:fldCharType="begin"/>
          </w:r>
          <w:r>
            <w:rPr>
              <w:rFonts w:hint="eastAsia" w:ascii="黑体" w:hAnsi="黑体" w:eastAsia="黑体" w:cs="黑体"/>
              <w:b/>
              <w:bCs/>
              <w:sz w:val="30"/>
              <w:szCs w:val="30"/>
            </w:rPr>
            <w:instrText xml:space="preserve">TOC \o "1-3" \h \u </w:instrText>
          </w:r>
          <w:r>
            <w:rPr>
              <w:rFonts w:hint="eastAsia" w:ascii="黑体" w:hAnsi="黑体" w:eastAsia="黑体" w:cs="黑体"/>
              <w:b/>
              <w:bCs/>
              <w:sz w:val="30"/>
              <w:szCs w:val="30"/>
            </w:rPr>
            <w:fldChar w:fldCharType="separate"/>
          </w:r>
          <w:r>
            <w:fldChar w:fldCharType="begin"/>
          </w:r>
          <w:r>
            <w:instrText xml:space="preserve"> HYPERLINK \l "_Toc12710" </w:instrText>
          </w:r>
          <w:r>
            <w:fldChar w:fldCharType="separate"/>
          </w:r>
          <w:r>
            <w:rPr>
              <w:rFonts w:hint="eastAsia" w:ascii="仿宋" w:hAnsi="仿宋" w:eastAsia="仿宋" w:cs="仿宋"/>
              <w:bCs/>
              <w:sz w:val="30"/>
              <w:szCs w:val="30"/>
            </w:rPr>
            <w:t>一、建设背景</w:t>
          </w:r>
          <w:r>
            <w:rPr>
              <w:sz w:val="30"/>
              <w:szCs w:val="30"/>
            </w:rPr>
            <w:tab/>
          </w:r>
          <w:r>
            <w:rPr>
              <w:sz w:val="30"/>
              <w:szCs w:val="30"/>
            </w:rPr>
            <w:fldChar w:fldCharType="begin"/>
          </w:r>
          <w:r>
            <w:rPr>
              <w:sz w:val="30"/>
              <w:szCs w:val="30"/>
            </w:rPr>
            <w:instrText xml:space="preserve"> PAGEREF _Toc12710 \h </w:instrText>
          </w:r>
          <w:r>
            <w:rPr>
              <w:sz w:val="30"/>
              <w:szCs w:val="30"/>
            </w:rPr>
            <w:fldChar w:fldCharType="separate"/>
          </w:r>
          <w:r>
            <w:rPr>
              <w:sz w:val="30"/>
              <w:szCs w:val="30"/>
            </w:rPr>
            <w:t>1</w:t>
          </w:r>
          <w:r>
            <w:rPr>
              <w:sz w:val="30"/>
              <w:szCs w:val="30"/>
            </w:rPr>
            <w:fldChar w:fldCharType="end"/>
          </w:r>
          <w:r>
            <w:rPr>
              <w:sz w:val="30"/>
              <w:szCs w:val="30"/>
            </w:rPr>
            <w:fldChar w:fldCharType="end"/>
          </w:r>
        </w:p>
        <w:p>
          <w:pPr>
            <w:pStyle w:val="7"/>
            <w:tabs>
              <w:tab w:val="right" w:leader="dot" w:pos="8306"/>
            </w:tabs>
            <w:spacing w:line="800" w:lineRule="exact"/>
            <w:rPr>
              <w:sz w:val="30"/>
              <w:szCs w:val="30"/>
            </w:rPr>
          </w:pPr>
          <w:r>
            <w:fldChar w:fldCharType="begin"/>
          </w:r>
          <w:r>
            <w:instrText xml:space="preserve"> HYPERLINK \l "_Toc25265" </w:instrText>
          </w:r>
          <w:r>
            <w:fldChar w:fldCharType="separate"/>
          </w:r>
          <w:r>
            <w:rPr>
              <w:rFonts w:hint="eastAsia" w:ascii="仿宋" w:hAnsi="仿宋" w:eastAsia="仿宋" w:cs="仿宋"/>
              <w:sz w:val="30"/>
              <w:szCs w:val="30"/>
            </w:rPr>
            <w:t>二、</w:t>
          </w:r>
          <w:r>
            <w:rPr>
              <w:rFonts w:hint="eastAsia" w:ascii="仿宋" w:hAnsi="仿宋" w:eastAsia="仿宋" w:cs="仿宋"/>
              <w:bCs/>
              <w:sz w:val="30"/>
              <w:szCs w:val="30"/>
            </w:rPr>
            <w:t>实施“一引领、两中心、四工程”</w:t>
          </w:r>
          <w:r>
            <w:rPr>
              <w:sz w:val="30"/>
              <w:szCs w:val="30"/>
            </w:rPr>
            <w:tab/>
          </w:r>
          <w:r>
            <w:rPr>
              <w:sz w:val="30"/>
              <w:szCs w:val="30"/>
            </w:rPr>
            <w:fldChar w:fldCharType="begin"/>
          </w:r>
          <w:r>
            <w:rPr>
              <w:sz w:val="30"/>
              <w:szCs w:val="30"/>
            </w:rPr>
            <w:instrText xml:space="preserve"> PAGEREF _Toc25265 \h </w:instrText>
          </w:r>
          <w:r>
            <w:rPr>
              <w:sz w:val="30"/>
              <w:szCs w:val="30"/>
            </w:rPr>
            <w:fldChar w:fldCharType="separate"/>
          </w:r>
          <w:r>
            <w:rPr>
              <w:sz w:val="30"/>
              <w:szCs w:val="30"/>
            </w:rPr>
            <w:t>1</w:t>
          </w:r>
          <w:r>
            <w:rPr>
              <w:sz w:val="30"/>
              <w:szCs w:val="30"/>
            </w:rPr>
            <w:fldChar w:fldCharType="end"/>
          </w:r>
          <w:r>
            <w:rPr>
              <w:sz w:val="30"/>
              <w:szCs w:val="30"/>
            </w:rPr>
            <w:fldChar w:fldCharType="end"/>
          </w:r>
        </w:p>
        <w:p>
          <w:pPr>
            <w:pStyle w:val="8"/>
            <w:tabs>
              <w:tab w:val="right" w:leader="dot" w:pos="8306"/>
            </w:tabs>
            <w:spacing w:line="800" w:lineRule="exact"/>
            <w:ind w:left="0" w:leftChars="0"/>
            <w:rPr>
              <w:sz w:val="30"/>
              <w:szCs w:val="30"/>
            </w:rPr>
          </w:pPr>
          <w:r>
            <w:fldChar w:fldCharType="begin"/>
          </w:r>
          <w:r>
            <w:instrText xml:space="preserve"> HYPERLINK \l "_Toc14093" </w:instrText>
          </w:r>
          <w:r>
            <w:fldChar w:fldCharType="separate"/>
          </w:r>
          <w:r>
            <w:rPr>
              <w:rFonts w:hint="eastAsia" w:ascii="仿宋" w:hAnsi="仿宋" w:eastAsia="仿宋" w:cs="仿宋"/>
              <w:sz w:val="30"/>
              <w:szCs w:val="30"/>
            </w:rPr>
            <w:t>（一）强化党建引领，全面加强师德师风建设。</w:t>
          </w:r>
          <w:r>
            <w:rPr>
              <w:sz w:val="30"/>
              <w:szCs w:val="30"/>
            </w:rPr>
            <w:tab/>
          </w:r>
          <w:r>
            <w:rPr>
              <w:sz w:val="30"/>
              <w:szCs w:val="30"/>
            </w:rPr>
            <w:fldChar w:fldCharType="begin"/>
          </w:r>
          <w:r>
            <w:rPr>
              <w:sz w:val="30"/>
              <w:szCs w:val="30"/>
            </w:rPr>
            <w:instrText xml:space="preserve"> PAGEREF _Toc14093 \h </w:instrText>
          </w:r>
          <w:r>
            <w:rPr>
              <w:sz w:val="30"/>
              <w:szCs w:val="30"/>
            </w:rPr>
            <w:fldChar w:fldCharType="separate"/>
          </w:r>
          <w:r>
            <w:rPr>
              <w:sz w:val="30"/>
              <w:szCs w:val="30"/>
            </w:rPr>
            <w:t>1</w:t>
          </w:r>
          <w:r>
            <w:rPr>
              <w:sz w:val="30"/>
              <w:szCs w:val="30"/>
            </w:rPr>
            <w:fldChar w:fldCharType="end"/>
          </w:r>
          <w:r>
            <w:rPr>
              <w:sz w:val="30"/>
              <w:szCs w:val="30"/>
            </w:rPr>
            <w:fldChar w:fldCharType="end"/>
          </w:r>
        </w:p>
        <w:p>
          <w:pPr>
            <w:pStyle w:val="8"/>
            <w:tabs>
              <w:tab w:val="right" w:leader="dot" w:pos="8306"/>
            </w:tabs>
            <w:spacing w:line="800" w:lineRule="exact"/>
            <w:ind w:left="0" w:leftChars="0"/>
            <w:rPr>
              <w:sz w:val="30"/>
              <w:szCs w:val="30"/>
            </w:rPr>
          </w:pPr>
          <w:r>
            <w:fldChar w:fldCharType="begin"/>
          </w:r>
          <w:r>
            <w:instrText xml:space="preserve"> HYPERLINK \l "_Toc20912" </w:instrText>
          </w:r>
          <w:r>
            <w:fldChar w:fldCharType="separate"/>
          </w:r>
          <w:r>
            <w:rPr>
              <w:rFonts w:hint="eastAsia" w:ascii="仿宋" w:hAnsi="仿宋" w:eastAsia="仿宋" w:cs="仿宋"/>
              <w:sz w:val="30"/>
              <w:szCs w:val="30"/>
            </w:rPr>
            <w:t>（二）建设两个中心，全面提升教师素质修养。</w:t>
          </w:r>
          <w:r>
            <w:rPr>
              <w:sz w:val="30"/>
              <w:szCs w:val="30"/>
            </w:rPr>
            <w:tab/>
          </w:r>
          <w:r>
            <w:rPr>
              <w:sz w:val="30"/>
              <w:szCs w:val="30"/>
            </w:rPr>
            <w:fldChar w:fldCharType="begin"/>
          </w:r>
          <w:r>
            <w:rPr>
              <w:sz w:val="30"/>
              <w:szCs w:val="30"/>
            </w:rPr>
            <w:instrText xml:space="preserve"> PAGEREF _Toc20912 \h </w:instrText>
          </w:r>
          <w:r>
            <w:rPr>
              <w:sz w:val="30"/>
              <w:szCs w:val="30"/>
            </w:rPr>
            <w:fldChar w:fldCharType="separate"/>
          </w:r>
          <w:r>
            <w:rPr>
              <w:sz w:val="30"/>
              <w:szCs w:val="30"/>
            </w:rPr>
            <w:t>3</w:t>
          </w:r>
          <w:r>
            <w:rPr>
              <w:sz w:val="30"/>
              <w:szCs w:val="30"/>
            </w:rPr>
            <w:fldChar w:fldCharType="end"/>
          </w:r>
          <w:r>
            <w:rPr>
              <w:sz w:val="30"/>
              <w:szCs w:val="30"/>
            </w:rPr>
            <w:fldChar w:fldCharType="end"/>
          </w:r>
        </w:p>
        <w:p>
          <w:pPr>
            <w:pStyle w:val="8"/>
            <w:tabs>
              <w:tab w:val="right" w:leader="dot" w:pos="8306"/>
            </w:tabs>
            <w:spacing w:line="800" w:lineRule="exact"/>
            <w:ind w:left="0" w:leftChars="0"/>
            <w:rPr>
              <w:sz w:val="30"/>
              <w:szCs w:val="30"/>
            </w:rPr>
          </w:pPr>
          <w:r>
            <w:fldChar w:fldCharType="begin"/>
          </w:r>
          <w:r>
            <w:instrText xml:space="preserve"> HYPERLINK \l "_Toc4115" </w:instrText>
          </w:r>
          <w:r>
            <w:fldChar w:fldCharType="separate"/>
          </w:r>
          <w:r>
            <w:rPr>
              <w:rFonts w:hint="eastAsia" w:ascii="仿宋" w:hAnsi="仿宋" w:eastAsia="仿宋" w:cs="仿宋"/>
              <w:sz w:val="30"/>
              <w:szCs w:val="30"/>
            </w:rPr>
            <w:t>（三）实施四项工程，全面深化师资建设改革。</w:t>
          </w:r>
          <w:r>
            <w:rPr>
              <w:sz w:val="30"/>
              <w:szCs w:val="30"/>
            </w:rPr>
            <w:tab/>
          </w:r>
          <w:r>
            <w:rPr>
              <w:sz w:val="30"/>
              <w:szCs w:val="30"/>
            </w:rPr>
            <w:fldChar w:fldCharType="begin"/>
          </w:r>
          <w:r>
            <w:rPr>
              <w:sz w:val="30"/>
              <w:szCs w:val="30"/>
            </w:rPr>
            <w:instrText xml:space="preserve"> PAGEREF _Toc4115 \h </w:instrText>
          </w:r>
          <w:r>
            <w:rPr>
              <w:sz w:val="30"/>
              <w:szCs w:val="30"/>
            </w:rPr>
            <w:fldChar w:fldCharType="separate"/>
          </w:r>
          <w:r>
            <w:rPr>
              <w:sz w:val="30"/>
              <w:szCs w:val="30"/>
            </w:rPr>
            <w:t>4</w:t>
          </w:r>
          <w:r>
            <w:rPr>
              <w:sz w:val="30"/>
              <w:szCs w:val="30"/>
            </w:rPr>
            <w:fldChar w:fldCharType="end"/>
          </w:r>
          <w:r>
            <w:rPr>
              <w:sz w:val="30"/>
              <w:szCs w:val="30"/>
            </w:rPr>
            <w:fldChar w:fldCharType="end"/>
          </w:r>
        </w:p>
        <w:p>
          <w:pPr>
            <w:pStyle w:val="4"/>
            <w:tabs>
              <w:tab w:val="right" w:leader="dot" w:pos="8306"/>
            </w:tabs>
            <w:spacing w:line="800" w:lineRule="exact"/>
            <w:ind w:left="0" w:leftChars="0" w:firstLine="210" w:firstLineChars="100"/>
            <w:rPr>
              <w:sz w:val="30"/>
              <w:szCs w:val="30"/>
            </w:rPr>
          </w:pPr>
          <w:r>
            <w:fldChar w:fldCharType="begin"/>
          </w:r>
          <w:r>
            <w:instrText xml:space="preserve"> HYPERLINK \l "_Toc27061" </w:instrText>
          </w:r>
          <w:r>
            <w:fldChar w:fldCharType="separate"/>
          </w:r>
          <w:r>
            <w:rPr>
              <w:rFonts w:hint="eastAsia" w:ascii="仿宋" w:hAnsi="仿宋" w:eastAsia="仿宋" w:cs="仿宋"/>
              <w:sz w:val="30"/>
              <w:szCs w:val="30"/>
            </w:rPr>
            <w:t>1、实施“领军人物引航工程”，引领教师队伍能力提升。</w:t>
          </w:r>
          <w:r>
            <w:rPr>
              <w:sz w:val="30"/>
              <w:szCs w:val="30"/>
            </w:rPr>
            <w:tab/>
          </w:r>
          <w:r>
            <w:rPr>
              <w:sz w:val="30"/>
              <w:szCs w:val="30"/>
            </w:rPr>
            <w:fldChar w:fldCharType="begin"/>
          </w:r>
          <w:r>
            <w:rPr>
              <w:sz w:val="30"/>
              <w:szCs w:val="30"/>
            </w:rPr>
            <w:instrText xml:space="preserve"> PAGEREF _Toc27061 \h </w:instrText>
          </w:r>
          <w:r>
            <w:rPr>
              <w:sz w:val="30"/>
              <w:szCs w:val="30"/>
            </w:rPr>
            <w:fldChar w:fldCharType="separate"/>
          </w:r>
          <w:r>
            <w:rPr>
              <w:sz w:val="30"/>
              <w:szCs w:val="30"/>
            </w:rPr>
            <w:t>4</w:t>
          </w:r>
          <w:r>
            <w:rPr>
              <w:sz w:val="30"/>
              <w:szCs w:val="30"/>
            </w:rPr>
            <w:fldChar w:fldCharType="end"/>
          </w:r>
          <w:r>
            <w:rPr>
              <w:sz w:val="30"/>
              <w:szCs w:val="30"/>
            </w:rPr>
            <w:fldChar w:fldCharType="end"/>
          </w:r>
        </w:p>
        <w:p>
          <w:pPr>
            <w:pStyle w:val="4"/>
            <w:tabs>
              <w:tab w:val="right" w:leader="dot" w:pos="8306"/>
            </w:tabs>
            <w:spacing w:line="800" w:lineRule="exact"/>
            <w:ind w:left="0" w:leftChars="0" w:firstLine="210" w:firstLineChars="100"/>
            <w:rPr>
              <w:sz w:val="30"/>
              <w:szCs w:val="30"/>
            </w:rPr>
          </w:pPr>
          <w:r>
            <w:fldChar w:fldCharType="begin"/>
          </w:r>
          <w:r>
            <w:instrText xml:space="preserve"> HYPERLINK \l "_Toc8030" </w:instrText>
          </w:r>
          <w:r>
            <w:fldChar w:fldCharType="separate"/>
          </w:r>
          <w:r>
            <w:rPr>
              <w:rFonts w:hint="eastAsia" w:ascii="仿宋" w:hAnsi="仿宋" w:eastAsia="仿宋" w:cs="仿宋"/>
              <w:sz w:val="30"/>
              <w:szCs w:val="30"/>
            </w:rPr>
            <w:t>2、实施“教师梯队培养工程”，促进教师队伍专业成长。</w:t>
          </w:r>
          <w:r>
            <w:rPr>
              <w:sz w:val="30"/>
              <w:szCs w:val="30"/>
            </w:rPr>
            <w:tab/>
          </w:r>
          <w:r>
            <w:rPr>
              <w:sz w:val="30"/>
              <w:szCs w:val="30"/>
            </w:rPr>
            <w:fldChar w:fldCharType="begin"/>
          </w:r>
          <w:r>
            <w:rPr>
              <w:sz w:val="30"/>
              <w:szCs w:val="30"/>
            </w:rPr>
            <w:instrText xml:space="preserve"> PAGEREF _Toc8030 \h </w:instrText>
          </w:r>
          <w:r>
            <w:rPr>
              <w:sz w:val="30"/>
              <w:szCs w:val="30"/>
            </w:rPr>
            <w:fldChar w:fldCharType="separate"/>
          </w:r>
          <w:r>
            <w:rPr>
              <w:sz w:val="30"/>
              <w:szCs w:val="30"/>
            </w:rPr>
            <w:t>5</w:t>
          </w:r>
          <w:r>
            <w:rPr>
              <w:sz w:val="30"/>
              <w:szCs w:val="30"/>
            </w:rPr>
            <w:fldChar w:fldCharType="end"/>
          </w:r>
          <w:r>
            <w:rPr>
              <w:sz w:val="30"/>
              <w:szCs w:val="30"/>
            </w:rPr>
            <w:fldChar w:fldCharType="end"/>
          </w:r>
        </w:p>
        <w:p>
          <w:pPr>
            <w:pStyle w:val="4"/>
            <w:tabs>
              <w:tab w:val="right" w:leader="dot" w:pos="8306"/>
            </w:tabs>
            <w:spacing w:line="800" w:lineRule="exact"/>
            <w:ind w:left="0" w:leftChars="0" w:firstLine="210" w:firstLineChars="100"/>
            <w:rPr>
              <w:sz w:val="30"/>
              <w:szCs w:val="30"/>
            </w:rPr>
          </w:pPr>
          <w:r>
            <w:fldChar w:fldCharType="begin"/>
          </w:r>
          <w:r>
            <w:instrText xml:space="preserve"> HYPERLINK \l "_Toc29673" </w:instrText>
          </w:r>
          <w:r>
            <w:fldChar w:fldCharType="separate"/>
          </w:r>
          <w:r>
            <w:rPr>
              <w:rFonts w:hint="eastAsia" w:ascii="仿宋" w:hAnsi="仿宋" w:eastAsia="仿宋" w:cs="仿宋"/>
              <w:sz w:val="30"/>
              <w:szCs w:val="30"/>
            </w:rPr>
            <w:t>3、实施“多元人才引进工程”，优化教师队伍配置结构。</w:t>
          </w:r>
          <w:r>
            <w:rPr>
              <w:sz w:val="30"/>
              <w:szCs w:val="30"/>
            </w:rPr>
            <w:tab/>
          </w:r>
          <w:r>
            <w:rPr>
              <w:sz w:val="30"/>
              <w:szCs w:val="30"/>
            </w:rPr>
            <w:fldChar w:fldCharType="begin"/>
          </w:r>
          <w:r>
            <w:rPr>
              <w:sz w:val="30"/>
              <w:szCs w:val="30"/>
            </w:rPr>
            <w:instrText xml:space="preserve"> PAGEREF _Toc29673 \h </w:instrText>
          </w:r>
          <w:r>
            <w:rPr>
              <w:sz w:val="30"/>
              <w:szCs w:val="30"/>
            </w:rPr>
            <w:fldChar w:fldCharType="separate"/>
          </w:r>
          <w:r>
            <w:rPr>
              <w:sz w:val="30"/>
              <w:szCs w:val="30"/>
            </w:rPr>
            <w:t>7</w:t>
          </w:r>
          <w:r>
            <w:rPr>
              <w:sz w:val="30"/>
              <w:szCs w:val="30"/>
            </w:rPr>
            <w:fldChar w:fldCharType="end"/>
          </w:r>
          <w:r>
            <w:rPr>
              <w:sz w:val="30"/>
              <w:szCs w:val="30"/>
            </w:rPr>
            <w:fldChar w:fldCharType="end"/>
          </w:r>
        </w:p>
        <w:p>
          <w:pPr>
            <w:pStyle w:val="4"/>
            <w:tabs>
              <w:tab w:val="right" w:leader="dot" w:pos="8306"/>
            </w:tabs>
            <w:spacing w:line="800" w:lineRule="exact"/>
            <w:ind w:left="0" w:leftChars="0" w:firstLine="210" w:firstLineChars="100"/>
            <w:rPr>
              <w:sz w:val="30"/>
              <w:szCs w:val="30"/>
            </w:rPr>
          </w:pPr>
          <w:r>
            <w:fldChar w:fldCharType="begin"/>
          </w:r>
          <w:r>
            <w:instrText xml:space="preserve"> HYPERLINK \l "_Toc7715" </w:instrText>
          </w:r>
          <w:r>
            <w:fldChar w:fldCharType="separate"/>
          </w:r>
          <w:r>
            <w:rPr>
              <w:rFonts w:hint="eastAsia" w:ascii="仿宋" w:hAnsi="仿宋" w:eastAsia="仿宋" w:cs="仿宋"/>
              <w:sz w:val="30"/>
              <w:szCs w:val="30"/>
            </w:rPr>
            <w:t>4、实施“量化考核绩效工程”，激发教师队伍内生动力。</w:t>
          </w:r>
          <w:r>
            <w:rPr>
              <w:sz w:val="30"/>
              <w:szCs w:val="30"/>
            </w:rPr>
            <w:tab/>
          </w:r>
          <w:r>
            <w:rPr>
              <w:sz w:val="30"/>
              <w:szCs w:val="30"/>
            </w:rPr>
            <w:fldChar w:fldCharType="begin"/>
          </w:r>
          <w:r>
            <w:rPr>
              <w:sz w:val="30"/>
              <w:szCs w:val="30"/>
            </w:rPr>
            <w:instrText xml:space="preserve"> PAGEREF _Toc7715 \h </w:instrText>
          </w:r>
          <w:r>
            <w:rPr>
              <w:sz w:val="30"/>
              <w:szCs w:val="30"/>
            </w:rPr>
            <w:fldChar w:fldCharType="separate"/>
          </w:r>
          <w:r>
            <w:rPr>
              <w:sz w:val="30"/>
              <w:szCs w:val="30"/>
            </w:rPr>
            <w:t>8</w:t>
          </w:r>
          <w:r>
            <w:rPr>
              <w:sz w:val="30"/>
              <w:szCs w:val="30"/>
            </w:rPr>
            <w:fldChar w:fldCharType="end"/>
          </w:r>
          <w:r>
            <w:rPr>
              <w:sz w:val="30"/>
              <w:szCs w:val="30"/>
            </w:rPr>
            <w:fldChar w:fldCharType="end"/>
          </w:r>
        </w:p>
        <w:p>
          <w:pPr>
            <w:pStyle w:val="7"/>
            <w:tabs>
              <w:tab w:val="right" w:leader="dot" w:pos="8306"/>
            </w:tabs>
            <w:spacing w:line="800" w:lineRule="exact"/>
            <w:rPr>
              <w:rFonts w:ascii="黑体" w:hAnsi="黑体" w:eastAsia="黑体" w:cs="黑体"/>
              <w:b/>
              <w:bCs/>
              <w:sz w:val="32"/>
              <w:szCs w:val="32"/>
            </w:rPr>
            <w:sectPr>
              <w:footerReference r:id="rId4" w:type="default"/>
              <w:pgSz w:w="11906" w:h="16838"/>
              <w:pgMar w:top="1270" w:right="1800" w:bottom="1440" w:left="1800" w:header="851" w:footer="992" w:gutter="0"/>
              <w:pgNumType w:start="1"/>
              <w:cols w:space="425" w:num="1"/>
              <w:docGrid w:type="lines" w:linePitch="312" w:charSpace="0"/>
            </w:sectPr>
          </w:pPr>
          <w:r>
            <w:fldChar w:fldCharType="begin"/>
          </w:r>
          <w:r>
            <w:instrText xml:space="preserve"> HYPERLINK \l "_Toc20118" </w:instrText>
          </w:r>
          <w:r>
            <w:fldChar w:fldCharType="separate"/>
          </w:r>
          <w:r>
            <w:rPr>
              <w:rFonts w:hint="eastAsia" w:ascii="仿宋" w:hAnsi="仿宋" w:eastAsia="仿宋" w:cs="仿宋"/>
              <w:bCs/>
              <w:sz w:val="30"/>
              <w:szCs w:val="30"/>
            </w:rPr>
            <w:t>三、建设成效</w:t>
          </w:r>
          <w:r>
            <w:rPr>
              <w:sz w:val="30"/>
              <w:szCs w:val="30"/>
            </w:rPr>
            <w:tab/>
          </w:r>
          <w:r>
            <w:rPr>
              <w:sz w:val="30"/>
              <w:szCs w:val="30"/>
            </w:rPr>
            <w:fldChar w:fldCharType="begin"/>
          </w:r>
          <w:r>
            <w:rPr>
              <w:sz w:val="30"/>
              <w:szCs w:val="30"/>
            </w:rPr>
            <w:instrText xml:space="preserve"> PAGEREF _Toc20118 \h </w:instrText>
          </w:r>
          <w:r>
            <w:rPr>
              <w:sz w:val="30"/>
              <w:szCs w:val="30"/>
            </w:rPr>
            <w:fldChar w:fldCharType="separate"/>
          </w:r>
          <w:r>
            <w:rPr>
              <w:sz w:val="30"/>
              <w:szCs w:val="30"/>
            </w:rPr>
            <w:t>9</w:t>
          </w:r>
          <w:r>
            <w:rPr>
              <w:sz w:val="30"/>
              <w:szCs w:val="30"/>
            </w:rPr>
            <w:fldChar w:fldCharType="end"/>
          </w:r>
          <w:r>
            <w:rPr>
              <w:sz w:val="30"/>
              <w:szCs w:val="30"/>
            </w:rPr>
            <w:fldChar w:fldCharType="end"/>
          </w:r>
          <w:r>
            <w:rPr>
              <w:rFonts w:hint="eastAsia" w:ascii="黑体" w:hAnsi="黑体" w:eastAsia="黑体" w:cs="黑体"/>
              <w:bCs/>
              <w:sz w:val="30"/>
              <w:szCs w:val="30"/>
            </w:rPr>
            <w:fldChar w:fldCharType="end"/>
          </w:r>
        </w:p>
      </w:sdtContent>
    </w:sdt>
    <w:p>
      <w:pPr>
        <w:spacing w:line="600" w:lineRule="exact"/>
        <w:jc w:val="center"/>
        <w:rPr>
          <w:rFonts w:ascii="方正公文小标宋" w:hAnsi="方正公文小标宋" w:eastAsia="方正公文小标宋" w:cs="方正公文小标宋"/>
          <w:sz w:val="36"/>
          <w:szCs w:val="36"/>
        </w:rPr>
      </w:pPr>
      <w:r>
        <w:rPr>
          <w:rFonts w:hint="eastAsia" w:ascii="方正公文小标宋" w:hAnsi="方正公文小标宋" w:eastAsia="方正公文小标宋" w:cs="方正公文小标宋"/>
          <w:sz w:val="36"/>
          <w:szCs w:val="36"/>
        </w:rPr>
        <w:t>实施“一引领、两中心、四工程”，</w:t>
      </w:r>
    </w:p>
    <w:p>
      <w:pPr>
        <w:spacing w:line="600" w:lineRule="exact"/>
        <w:jc w:val="center"/>
        <w:rPr>
          <w:rFonts w:ascii="方正公文小标宋" w:hAnsi="方正公文小标宋" w:eastAsia="方正公文小标宋" w:cs="方正公文小标宋"/>
          <w:sz w:val="36"/>
          <w:szCs w:val="36"/>
        </w:rPr>
      </w:pPr>
      <w:r>
        <w:rPr>
          <w:rFonts w:hint="eastAsia" w:ascii="方正公文小标宋" w:hAnsi="方正公文小标宋" w:eastAsia="方正公文小标宋" w:cs="方正公文小标宋"/>
          <w:sz w:val="36"/>
          <w:szCs w:val="36"/>
        </w:rPr>
        <w:t>打造高素质“双师型”教师队伍</w:t>
      </w:r>
    </w:p>
    <w:p>
      <w:pPr>
        <w:spacing w:line="600" w:lineRule="exact"/>
        <w:jc w:val="right"/>
        <w:rPr>
          <w:rFonts w:ascii="楷体" w:hAnsi="楷体" w:eastAsia="楷体" w:cs="楷体"/>
          <w:sz w:val="32"/>
          <w:szCs w:val="32"/>
        </w:rPr>
      </w:pPr>
      <w:r>
        <w:rPr>
          <w:rFonts w:hint="eastAsia" w:ascii="楷体" w:hAnsi="楷体" w:eastAsia="楷体" w:cs="楷体"/>
          <w:sz w:val="32"/>
          <w:szCs w:val="32"/>
        </w:rPr>
        <w:t>——福建理工学校教师队伍建设典型案例</w:t>
      </w:r>
    </w:p>
    <w:p>
      <w:pPr>
        <w:spacing w:line="600" w:lineRule="exact"/>
        <w:ind w:firstLine="640" w:firstLineChars="200"/>
        <w:rPr>
          <w:rFonts w:ascii="仿宋" w:hAnsi="仿宋" w:eastAsia="仿宋" w:cs="仿宋"/>
          <w:sz w:val="32"/>
          <w:szCs w:val="32"/>
        </w:rPr>
      </w:pP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福建理工学校作为福建省“双高”职业院校的中职学校排头兵，积极推进“双师型”教师队伍高质量建设，引领技术技能型人才培养高质量发展。</w:t>
      </w:r>
    </w:p>
    <w:p>
      <w:pPr>
        <w:spacing w:line="600" w:lineRule="exact"/>
        <w:ind w:firstLine="643" w:firstLineChars="200"/>
        <w:outlineLvl w:val="0"/>
        <w:rPr>
          <w:rFonts w:ascii="仿宋" w:hAnsi="仿宋" w:eastAsia="仿宋" w:cs="仿宋"/>
          <w:b/>
          <w:bCs/>
          <w:sz w:val="32"/>
          <w:szCs w:val="32"/>
        </w:rPr>
      </w:pPr>
      <w:bookmarkStart w:id="0" w:name="_Toc12710"/>
      <w:r>
        <w:rPr>
          <w:rFonts w:hint="eastAsia" w:ascii="仿宋" w:hAnsi="仿宋" w:eastAsia="仿宋" w:cs="仿宋"/>
          <w:b/>
          <w:bCs/>
          <w:sz w:val="32"/>
          <w:szCs w:val="32"/>
        </w:rPr>
        <w:t>一、建设背景</w:t>
      </w:r>
      <w:bookmarkEnd w:id="0"/>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近年来，福建理工学校深入贯彻习近平总书记对职业教育的重要指示批示精神和全国职业教育大会精神，落实新《职业教育法》《关于全面深化新时代教师队伍建设改革的意见》《深化新时代职业教育“双师型”教师队伍建设改革实施方案》《福建省职业院校“双师型”教师认定指导性标准（试行）》等文件精神，实施“一引领、两中心、四工程”师资队伍建设模式，</w:t>
      </w:r>
      <w:r>
        <w:rPr>
          <w:rFonts w:hint="eastAsia" w:ascii="仿宋" w:hAnsi="仿宋" w:eastAsia="仿宋" w:cs="仿宋"/>
          <w:sz w:val="32"/>
          <w:szCs w:val="32"/>
          <w:lang w:val="en-US" w:eastAsia="zh-CN"/>
        </w:rPr>
        <w:t>打造</w:t>
      </w:r>
      <w:r>
        <w:rPr>
          <w:rFonts w:hint="eastAsia" w:ascii="仿宋" w:hAnsi="仿宋" w:eastAsia="仿宋" w:cs="仿宋"/>
          <w:sz w:val="32"/>
          <w:szCs w:val="32"/>
        </w:rPr>
        <w:t>一支德技双馨、专兼结合、结构合理、改革创新的高素质“双师型”教师队伍，</w:t>
      </w:r>
      <w:r>
        <w:rPr>
          <w:rFonts w:hint="eastAsia" w:ascii="仿宋" w:hAnsi="仿宋" w:eastAsia="仿宋" w:cs="仿宋"/>
          <w:sz w:val="32"/>
          <w:szCs w:val="32"/>
          <w:lang w:eastAsia="zh-CN"/>
        </w:rPr>
        <w:t>“</w:t>
      </w:r>
      <w:r>
        <w:rPr>
          <w:rFonts w:hint="eastAsia" w:ascii="仿宋" w:hAnsi="仿宋" w:eastAsia="仿宋" w:cs="仿宋"/>
          <w:sz w:val="32"/>
          <w:szCs w:val="32"/>
        </w:rPr>
        <w:t>双师型</w:t>
      </w:r>
      <w:r>
        <w:rPr>
          <w:rFonts w:hint="eastAsia" w:ascii="仿宋" w:hAnsi="仿宋" w:eastAsia="仿宋" w:cs="仿宋"/>
          <w:sz w:val="32"/>
          <w:szCs w:val="32"/>
          <w:lang w:eastAsia="zh-CN"/>
        </w:rPr>
        <w:t>”</w:t>
      </w:r>
      <w:r>
        <w:rPr>
          <w:rFonts w:hint="eastAsia" w:ascii="仿宋" w:hAnsi="仿宋" w:eastAsia="仿宋" w:cs="仿宋"/>
          <w:sz w:val="32"/>
          <w:szCs w:val="32"/>
        </w:rPr>
        <w:t>教师比例达90.3%。</w:t>
      </w:r>
    </w:p>
    <w:p>
      <w:pPr>
        <w:spacing w:line="600" w:lineRule="exact"/>
        <w:ind w:firstLine="960" w:firstLineChars="300"/>
        <w:jc w:val="left"/>
        <w:outlineLvl w:val="0"/>
        <w:rPr>
          <w:rFonts w:ascii="仿宋" w:hAnsi="仿宋" w:eastAsia="仿宋" w:cs="仿宋"/>
          <w:b/>
          <w:bCs/>
          <w:sz w:val="32"/>
          <w:szCs w:val="32"/>
        </w:rPr>
      </w:pPr>
      <w:bookmarkStart w:id="1" w:name="_Toc25265"/>
      <w:r>
        <w:rPr>
          <w:rFonts w:hint="eastAsia" w:ascii="仿宋" w:hAnsi="仿宋" w:eastAsia="仿宋" w:cs="仿宋"/>
          <w:sz w:val="32"/>
          <w:szCs w:val="32"/>
        </w:rPr>
        <w:t>二、</w:t>
      </w:r>
      <w:r>
        <w:rPr>
          <w:rFonts w:hint="eastAsia" w:ascii="仿宋" w:hAnsi="仿宋" w:eastAsia="仿宋" w:cs="仿宋"/>
          <w:b/>
          <w:bCs/>
          <w:sz w:val="32"/>
          <w:szCs w:val="32"/>
        </w:rPr>
        <w:t>实施“一引领、两中心、四工程”</w:t>
      </w:r>
      <w:bookmarkEnd w:id="1"/>
    </w:p>
    <w:p>
      <w:pPr>
        <w:spacing w:line="600" w:lineRule="exact"/>
        <w:ind w:firstLine="640" w:firstLineChars="200"/>
        <w:outlineLvl w:val="1"/>
        <w:rPr>
          <w:rFonts w:ascii="仿宋" w:hAnsi="仿宋" w:eastAsia="仿宋" w:cs="仿宋"/>
          <w:sz w:val="32"/>
          <w:szCs w:val="32"/>
        </w:rPr>
      </w:pPr>
      <w:bookmarkStart w:id="2" w:name="_Toc14093"/>
      <w:r>
        <w:rPr>
          <w:rFonts w:hint="eastAsia" w:ascii="仿宋" w:hAnsi="仿宋" w:eastAsia="仿宋" w:cs="仿宋"/>
          <w:sz w:val="32"/>
          <w:szCs w:val="32"/>
        </w:rPr>
        <w:t>（一）强化党建引领，全面加强师德师风建设。</w:t>
      </w:r>
      <w:bookmarkEnd w:id="2"/>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党委坚持党管干部、党管人才，确保教师队伍建设正确的政治方向。学校加强教师党支部和党员队伍建设，充分发挥教师党支部教育管理监督党员和宣传引导凝聚师生的战斗堡垒作用。选优配强教师党支部书记，实施“双带头”“双培养”培育工程，设立</w:t>
      </w:r>
      <w:r>
        <w:rPr>
          <w:rFonts w:ascii="仿宋" w:hAnsi="仿宋" w:eastAsia="仿宋" w:cs="仿宋"/>
          <w:sz w:val="32"/>
          <w:szCs w:val="32"/>
        </w:rPr>
        <w:t>15</w:t>
      </w:r>
      <w:r>
        <w:rPr>
          <w:rFonts w:hint="eastAsia" w:ascii="仿宋" w:hAnsi="仿宋" w:eastAsia="仿宋" w:cs="仿宋"/>
          <w:sz w:val="32"/>
          <w:szCs w:val="32"/>
        </w:rPr>
        <w:t>个教师党员先锋岗，</w:t>
      </w:r>
      <w:r>
        <w:rPr>
          <w:rFonts w:ascii="仿宋" w:hAnsi="仿宋" w:eastAsia="仿宋" w:cs="仿宋"/>
          <w:sz w:val="32"/>
          <w:szCs w:val="32"/>
        </w:rPr>
        <w:t>13</w:t>
      </w:r>
      <w:r>
        <w:rPr>
          <w:rFonts w:hint="eastAsia" w:ascii="仿宋" w:hAnsi="仿宋" w:eastAsia="仿宋" w:cs="仿宋"/>
          <w:sz w:val="32"/>
          <w:szCs w:val="32"/>
        </w:rPr>
        <w:t>个党员示范区，构建“党建+名师工作室” “党建+技能大师工作室” “党建+心理发展与教育中心”等品牌，典型引领、以点带面，引导党员教师争做“四有”好教师的示范标杆。学校还作为福建省中职学校中共党建研究会的会长单位，率先将支部设在各教学部，积极推进将党建工作与师资队伍建设工作同部署同推进同落实。</w:t>
      </w:r>
    </w:p>
    <w:p>
      <w:pPr>
        <w:pStyle w:val="2"/>
        <w:ind w:left="0" w:firstLine="0" w:firstLineChars="0"/>
      </w:pPr>
      <w:r>
        <w:rPr>
          <w:rFonts w:hint="eastAsia" w:ascii="宋体" w:hAnsi="宋体" w:cs="宋体"/>
          <w:sz w:val="28"/>
          <w:szCs w:val="28"/>
        </w:rPr>
        <w:drawing>
          <wp:inline distT="0" distB="0" distL="114300" distR="114300">
            <wp:extent cx="5290185" cy="3499485"/>
            <wp:effectExtent l="0" t="0" r="5715" b="5715"/>
            <wp:docPr id="3" name="图片 3" descr="IMG_3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3934"/>
                    <pic:cNvPicPr>
                      <a:picLocks noChangeAspect="1"/>
                    </pic:cNvPicPr>
                  </pic:nvPicPr>
                  <pic:blipFill>
                    <a:blip r:embed="rId9"/>
                    <a:stretch>
                      <a:fillRect/>
                    </a:stretch>
                  </pic:blipFill>
                  <pic:spPr>
                    <a:xfrm>
                      <a:off x="0" y="0"/>
                      <a:ext cx="5290185" cy="3499485"/>
                    </a:xfrm>
                    <a:prstGeom prst="rect">
                      <a:avLst/>
                    </a:prstGeom>
                    <a:noFill/>
                    <a:ln>
                      <a:noFill/>
                    </a:ln>
                  </pic:spPr>
                </pic:pic>
              </a:graphicData>
            </a:graphic>
          </wp:inline>
        </w:drawing>
      </w:r>
    </w:p>
    <w:p>
      <w:pPr>
        <w:spacing w:line="600" w:lineRule="exact"/>
        <w:ind w:firstLine="640" w:firstLineChars="200"/>
        <w:rPr>
          <w:rFonts w:ascii="仿宋" w:hAnsi="仿宋" w:eastAsia="仿宋" w:cs="仿宋"/>
          <w:b/>
          <w:bCs/>
          <w:sz w:val="32"/>
          <w:szCs w:val="32"/>
        </w:rPr>
      </w:pPr>
      <w:r>
        <w:rPr>
          <w:rFonts w:hint="eastAsia" w:ascii="仿宋" w:hAnsi="仿宋" w:eastAsia="仿宋" w:cs="仿宋"/>
          <w:sz w:val="32"/>
          <w:szCs w:val="32"/>
        </w:rPr>
        <w:t>学校加强教师的理想信念教育，开展师德师风建设工程。选树表彰身边的师德典型，通过校园融媒体宣传中心讲好师德故事。</w:t>
      </w:r>
      <w:r>
        <w:rPr>
          <w:rFonts w:hint="eastAsia" w:ascii="仿宋" w:hAnsi="仿宋" w:eastAsia="仿宋" w:cs="仿宋"/>
          <w:sz w:val="32"/>
          <w:szCs w:val="32"/>
          <w:lang w:val="en-US" w:eastAsia="zh-CN"/>
        </w:rPr>
        <w:t>健全学校、教师、学生、家长、社会等</w:t>
      </w:r>
      <w:r>
        <w:rPr>
          <w:rFonts w:hint="eastAsia" w:ascii="仿宋" w:hAnsi="仿宋" w:eastAsia="仿宋" w:cs="仿宋"/>
          <w:sz w:val="32"/>
          <w:szCs w:val="32"/>
        </w:rPr>
        <w:t>“五位一体”的师德师风监督体系，推行师德考核负面清单制度，建立教师个人信用记录。学校广大教师做到以德立身、以德施教，</w:t>
      </w:r>
      <w:r>
        <w:rPr>
          <w:rFonts w:hint="eastAsia" w:ascii="仿宋" w:hAnsi="仿宋" w:eastAsia="仿宋" w:cs="仿宋"/>
          <w:b/>
          <w:bCs/>
          <w:sz w:val="32"/>
          <w:szCs w:val="32"/>
        </w:rPr>
        <w:t>林娟玲老师在2021年获得福建省第六届杰出人民教师的光荣称号。</w:t>
      </w:r>
    </w:p>
    <w:p>
      <w:pPr>
        <w:pStyle w:val="2"/>
        <w:ind w:left="0" w:firstLine="0" w:firstLineChars="0"/>
        <w:jc w:val="center"/>
        <w:rPr>
          <w:rFonts w:ascii="仿宋" w:hAnsi="仿宋" w:eastAsia="仿宋" w:cs="仿宋"/>
          <w:b/>
          <w:bCs/>
          <w:sz w:val="32"/>
          <w:szCs w:val="32"/>
        </w:rPr>
      </w:pPr>
      <w:r>
        <w:rPr>
          <w:rFonts w:hint="eastAsia" w:ascii="仿宋" w:hAnsi="仿宋" w:eastAsia="仿宋" w:cs="仿宋"/>
          <w:color w:val="333333"/>
          <w:sz w:val="28"/>
          <w:szCs w:val="28"/>
        </w:rPr>
        <w:drawing>
          <wp:inline distT="0" distB="0" distL="114300" distR="114300">
            <wp:extent cx="5414010" cy="3611880"/>
            <wp:effectExtent l="0" t="0" r="15240" b="7620"/>
            <wp:docPr id="4" name="图片 7" descr="图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descr="图8"/>
                    <pic:cNvPicPr>
                      <a:picLocks noChangeAspect="1"/>
                    </pic:cNvPicPr>
                  </pic:nvPicPr>
                  <pic:blipFill>
                    <a:blip r:embed="rId10">
                      <a:lum bright="12000"/>
                    </a:blip>
                    <a:stretch>
                      <a:fillRect/>
                    </a:stretch>
                  </pic:blipFill>
                  <pic:spPr>
                    <a:xfrm>
                      <a:off x="0" y="0"/>
                      <a:ext cx="5414010" cy="3611880"/>
                    </a:xfrm>
                    <a:prstGeom prst="rect">
                      <a:avLst/>
                    </a:prstGeom>
                    <a:noFill/>
                    <a:ln>
                      <a:noFill/>
                    </a:ln>
                  </pic:spPr>
                </pic:pic>
              </a:graphicData>
            </a:graphic>
          </wp:inline>
        </w:drawing>
      </w:r>
    </w:p>
    <w:p>
      <w:pPr>
        <w:spacing w:line="600" w:lineRule="exact"/>
        <w:ind w:firstLine="640" w:firstLineChars="200"/>
        <w:outlineLvl w:val="1"/>
        <w:rPr>
          <w:rFonts w:ascii="仿宋" w:hAnsi="仿宋" w:eastAsia="仿宋" w:cs="仿宋"/>
          <w:sz w:val="32"/>
          <w:szCs w:val="32"/>
        </w:rPr>
      </w:pPr>
      <w:bookmarkStart w:id="3" w:name="_Toc20912"/>
      <w:r>
        <w:rPr>
          <w:rFonts w:hint="eastAsia" w:ascii="仿宋" w:hAnsi="仿宋" w:eastAsia="仿宋" w:cs="仿宋"/>
          <w:sz w:val="32"/>
          <w:szCs w:val="32"/>
        </w:rPr>
        <w:t>（二）建设两个中心，全面提升教师素质修养。</w:t>
      </w:r>
      <w:bookmarkEnd w:id="3"/>
    </w:p>
    <w:p>
      <w:pPr>
        <w:spacing w:line="60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学校成立教师发展中心，促进教师终身教育发展及教学能力提升，健全教师培训服务体系。出台“校级专业带头人、骨干教师</w:t>
      </w:r>
      <w:r>
        <w:rPr>
          <w:rFonts w:hint="eastAsia" w:ascii="仿宋" w:hAnsi="仿宋" w:eastAsia="仿宋" w:cs="仿宋"/>
          <w:sz w:val="32"/>
          <w:szCs w:val="32"/>
          <w:lang w:val="en-US" w:eastAsia="zh-CN"/>
        </w:rPr>
        <w:t>遴选</w:t>
      </w:r>
      <w:r>
        <w:rPr>
          <w:rFonts w:hint="eastAsia" w:ascii="仿宋" w:hAnsi="仿宋" w:eastAsia="仿宋" w:cs="仿宋"/>
          <w:sz w:val="32"/>
          <w:szCs w:val="32"/>
        </w:rPr>
        <w:t>及管理办法”，将“双师型”教师要求纳入其中，探索实施初、中、高分层次的“双师型”教师培养方案，在职务职称晋升、教育培训、评先评优等方面向“双师型”教师倾斜。每年开展全员培训，加强师德师风培训、新教师入职培训、中青年教师能力拓展培训、教育教学管理能力提升培训等</w:t>
      </w:r>
      <w:r>
        <w:rPr>
          <w:rFonts w:hint="eastAsia" w:ascii="仿宋" w:hAnsi="仿宋" w:eastAsia="仿宋" w:cs="仿宋"/>
          <w:sz w:val="32"/>
          <w:szCs w:val="32"/>
          <w:lang w:eastAsia="zh-CN"/>
        </w:rPr>
        <w:t>。</w:t>
      </w:r>
      <w:r>
        <w:rPr>
          <w:rFonts w:hint="eastAsia" w:ascii="仿宋" w:hAnsi="仿宋" w:eastAsia="仿宋" w:cs="仿宋"/>
          <w:sz w:val="32"/>
          <w:szCs w:val="32"/>
        </w:rPr>
        <w:t>现有</w:t>
      </w:r>
      <w:r>
        <w:rPr>
          <w:rFonts w:hint="eastAsia" w:ascii="仿宋" w:hAnsi="仿宋" w:eastAsia="仿宋" w:cs="仿宋"/>
          <w:sz w:val="32"/>
          <w:szCs w:val="32"/>
          <w:lang w:val="en-US" w:eastAsia="zh-CN"/>
        </w:rPr>
        <w:t>4名</w:t>
      </w:r>
      <w:r>
        <w:rPr>
          <w:rFonts w:hint="eastAsia" w:ascii="仿宋" w:hAnsi="仿宋" w:eastAsia="仿宋" w:cs="仿宋"/>
          <w:sz w:val="32"/>
          <w:szCs w:val="32"/>
        </w:rPr>
        <w:t>省级专业带头人、1</w:t>
      </w:r>
      <w:r>
        <w:rPr>
          <w:rFonts w:hint="eastAsia" w:ascii="仿宋" w:hAnsi="仿宋" w:eastAsia="仿宋" w:cs="仿宋"/>
          <w:sz w:val="32"/>
          <w:szCs w:val="32"/>
          <w:lang w:val="en-US" w:eastAsia="zh-CN"/>
        </w:rPr>
        <w:t>3名</w:t>
      </w:r>
      <w:r>
        <w:rPr>
          <w:rFonts w:hint="eastAsia" w:ascii="仿宋" w:hAnsi="仿宋" w:eastAsia="仿宋" w:cs="仿宋"/>
          <w:sz w:val="32"/>
          <w:szCs w:val="32"/>
        </w:rPr>
        <w:t>校级专业带头人</w:t>
      </w: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25名校级</w:t>
      </w:r>
      <w:r>
        <w:rPr>
          <w:rFonts w:hint="eastAsia" w:ascii="仿宋" w:hAnsi="仿宋" w:eastAsia="仿宋" w:cs="仿宋"/>
          <w:sz w:val="32"/>
          <w:szCs w:val="32"/>
        </w:rPr>
        <w:t>骨干教师。</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学校成立思政工作中心，激励和推动广大教师树牢课程思政育人理念，提升专业教师思政育人与专业课教学的有机融合能力。</w:t>
      </w:r>
      <w:r>
        <w:rPr>
          <w:rFonts w:hint="eastAsia" w:ascii="仿宋" w:hAnsi="仿宋" w:eastAsia="仿宋" w:cs="仿宋"/>
          <w:sz w:val="32"/>
          <w:szCs w:val="32"/>
          <w:lang w:val="en-US" w:eastAsia="zh-CN"/>
        </w:rPr>
        <w:t>近3年立项研究9个思政相关省级课题，开发融入思政元素的精品课程8门及相关数字资源总量达4T以上</w:t>
      </w:r>
      <w:r>
        <w:rPr>
          <w:rFonts w:hint="eastAsia" w:ascii="仿宋" w:hAnsi="仿宋" w:eastAsia="仿宋" w:cs="仿宋"/>
          <w:sz w:val="32"/>
          <w:szCs w:val="32"/>
        </w:rPr>
        <w:t>。</w:t>
      </w:r>
      <w:r>
        <w:rPr>
          <w:rFonts w:hint="eastAsia" w:ascii="仿宋" w:hAnsi="仿宋" w:eastAsia="仿宋" w:cs="仿宋"/>
          <w:b/>
          <w:bCs/>
          <w:sz w:val="32"/>
          <w:szCs w:val="32"/>
        </w:rPr>
        <w:t>电子商务专业教学团队被认定为教育部课程思政教学团队，</w:t>
      </w:r>
      <w:r>
        <w:rPr>
          <w:rFonts w:hint="eastAsia" w:ascii="仿宋" w:hAnsi="仿宋" w:eastAsia="仿宋" w:cs="仿宋"/>
          <w:sz w:val="32"/>
          <w:szCs w:val="32"/>
        </w:rPr>
        <w:t>4名教师被评为教育部课程思政教学名师。教师发展中心与思政工作中心共同提升教师专业素质能力，共同构筑“大思政”工作格局，为“三全育人”提供强有力的师资保障。</w:t>
      </w:r>
    </w:p>
    <w:p>
      <w:pPr>
        <w:pStyle w:val="2"/>
        <w:ind w:left="0" w:firstLine="0" w:firstLineChars="0"/>
        <w:rPr>
          <w:rFonts w:ascii="仿宋" w:hAnsi="仿宋" w:eastAsia="仿宋" w:cs="仿宋"/>
          <w:sz w:val="32"/>
          <w:szCs w:val="32"/>
        </w:rPr>
      </w:pPr>
      <w:r>
        <w:rPr>
          <w:rFonts w:hint="eastAsia" w:ascii="仿宋" w:hAnsi="仿宋" w:eastAsia="仿宋" w:cs="仿宋"/>
          <w:sz w:val="32"/>
          <w:szCs w:val="32"/>
        </w:rPr>
        <w:drawing>
          <wp:inline distT="0" distB="0" distL="114300" distR="114300">
            <wp:extent cx="5163185" cy="3444240"/>
            <wp:effectExtent l="0" t="0" r="18415" b="3810"/>
            <wp:docPr id="10" name="图片 10" descr="IMG_17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IMG_1752(1)"/>
                    <pic:cNvPicPr>
                      <a:picLocks noChangeAspect="1"/>
                    </pic:cNvPicPr>
                  </pic:nvPicPr>
                  <pic:blipFill>
                    <a:blip r:embed="rId11"/>
                    <a:stretch>
                      <a:fillRect/>
                    </a:stretch>
                  </pic:blipFill>
                  <pic:spPr>
                    <a:xfrm>
                      <a:off x="0" y="0"/>
                      <a:ext cx="5163185" cy="3444240"/>
                    </a:xfrm>
                    <a:prstGeom prst="rect">
                      <a:avLst/>
                    </a:prstGeom>
                  </pic:spPr>
                </pic:pic>
              </a:graphicData>
            </a:graphic>
          </wp:inline>
        </w:drawing>
      </w:r>
    </w:p>
    <w:p>
      <w:pPr>
        <w:spacing w:line="600" w:lineRule="exact"/>
        <w:ind w:firstLine="640" w:firstLineChars="200"/>
        <w:outlineLvl w:val="1"/>
        <w:rPr>
          <w:rFonts w:ascii="仿宋" w:hAnsi="仿宋" w:eastAsia="仿宋" w:cs="仿宋"/>
          <w:sz w:val="32"/>
          <w:szCs w:val="32"/>
        </w:rPr>
      </w:pPr>
      <w:bookmarkStart w:id="4" w:name="_Toc4115"/>
      <w:r>
        <w:rPr>
          <w:rFonts w:hint="eastAsia" w:ascii="仿宋" w:hAnsi="仿宋" w:eastAsia="仿宋" w:cs="仿宋"/>
          <w:sz w:val="32"/>
          <w:szCs w:val="32"/>
        </w:rPr>
        <w:t>（三）实施四项工程，全面深化师资建设改革。</w:t>
      </w:r>
      <w:bookmarkEnd w:id="4"/>
    </w:p>
    <w:p>
      <w:pPr>
        <w:spacing w:line="600" w:lineRule="exact"/>
        <w:ind w:firstLine="640" w:firstLineChars="200"/>
        <w:outlineLvl w:val="2"/>
        <w:rPr>
          <w:rFonts w:ascii="仿宋" w:hAnsi="仿宋" w:eastAsia="仿宋" w:cs="仿宋"/>
          <w:sz w:val="32"/>
          <w:szCs w:val="32"/>
        </w:rPr>
      </w:pPr>
      <w:bookmarkStart w:id="5" w:name="_Toc27061"/>
      <w:r>
        <w:rPr>
          <w:rFonts w:hint="eastAsia" w:ascii="仿宋" w:hAnsi="仿宋" w:eastAsia="仿宋" w:cs="仿宋"/>
          <w:sz w:val="32"/>
          <w:szCs w:val="32"/>
        </w:rPr>
        <w:t>1、实施“领军人物引航工程”，引领教师队伍能力提升。</w:t>
      </w:r>
      <w:bookmarkEnd w:id="5"/>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学校组建由</w:t>
      </w:r>
      <w:r>
        <w:rPr>
          <w:rFonts w:hint="eastAsia" w:ascii="仿宋" w:hAnsi="仿宋" w:eastAsia="仿宋" w:cs="仿宋"/>
          <w:b/>
          <w:bCs/>
          <w:sz w:val="32"/>
          <w:szCs w:val="32"/>
        </w:rPr>
        <w:t>正高级讲师、省级特级教师、省级教学名师、</w:t>
      </w:r>
      <w:r>
        <w:rPr>
          <w:rFonts w:hint="eastAsia" w:ascii="仿宋" w:hAnsi="仿宋" w:eastAsia="仿宋" w:cs="仿宋"/>
          <w:b/>
          <w:bCs/>
          <w:sz w:val="32"/>
          <w:szCs w:val="32"/>
          <w:lang w:val="en-US" w:eastAsia="zh-CN"/>
        </w:rPr>
        <w:t>4</w:t>
      </w:r>
      <w:r>
        <w:rPr>
          <w:rFonts w:hint="eastAsia" w:ascii="仿宋" w:hAnsi="仿宋" w:eastAsia="仿宋" w:cs="仿宋"/>
          <w:b/>
          <w:bCs/>
          <w:sz w:val="32"/>
          <w:szCs w:val="32"/>
        </w:rPr>
        <w:t>名省级专业带头人、3名省级技能大师</w:t>
      </w:r>
      <w:r>
        <w:rPr>
          <w:rFonts w:hint="eastAsia" w:ascii="仿宋" w:hAnsi="仿宋" w:eastAsia="仿宋" w:cs="仿宋"/>
          <w:sz w:val="32"/>
          <w:szCs w:val="32"/>
        </w:rPr>
        <w:t>及4个专业教学部主任构成的教师领军团队，以名师大师工作室为载体，开展教学研究指导、示范公开课、专题讲座交流等活动，示范引领“双师型”教师队伍建设。比如机械专业教学部的省级技能大师蓝荣杰老师领衔组建省级技能大师工作室，指导教学团队将精湛技术技能及“工匠”精神融入教育教学实践中，指导学生在</w:t>
      </w:r>
      <w:r>
        <w:rPr>
          <w:rFonts w:hint="eastAsia" w:ascii="仿宋" w:hAnsi="仿宋" w:eastAsia="仿宋" w:cs="仿宋"/>
          <w:b/>
          <w:bCs/>
          <w:sz w:val="32"/>
          <w:szCs w:val="32"/>
        </w:rPr>
        <w:t>福建省“互联网+”大学生创新创业大赛中荣获两个项目金奖以及最佳创意奖</w:t>
      </w:r>
      <w:r>
        <w:rPr>
          <w:rFonts w:hint="eastAsia" w:ascii="仿宋" w:hAnsi="仿宋" w:eastAsia="仿宋" w:cs="仿宋"/>
          <w:sz w:val="32"/>
          <w:szCs w:val="32"/>
        </w:rPr>
        <w:t>。汽车专业教学部的省级教学名师培养人选、特级教师江国奋老师领衔建设</w:t>
      </w:r>
      <w:r>
        <w:rPr>
          <w:rFonts w:hint="eastAsia" w:ascii="仿宋" w:hAnsi="仿宋" w:eastAsia="仿宋" w:cs="仿宋"/>
          <w:b/>
          <w:bCs/>
          <w:sz w:val="32"/>
          <w:szCs w:val="32"/>
        </w:rPr>
        <w:t>省级职业院校教师教学创新团队</w:t>
      </w:r>
      <w:r>
        <w:rPr>
          <w:rFonts w:hint="eastAsia" w:ascii="仿宋" w:hAnsi="仿宋" w:eastAsia="仿宋" w:cs="仿宋"/>
          <w:sz w:val="32"/>
          <w:szCs w:val="32"/>
        </w:rPr>
        <w:t>，指导创新实践“双主体·四融合·六共建”的人才培养模式，荣获</w:t>
      </w:r>
      <w:r>
        <w:rPr>
          <w:rFonts w:hint="eastAsia" w:ascii="仿宋" w:hAnsi="仿宋" w:eastAsia="仿宋" w:cs="仿宋"/>
          <w:b/>
          <w:bCs/>
          <w:sz w:val="32"/>
          <w:szCs w:val="32"/>
        </w:rPr>
        <w:t>2022年省级教学成果奖特等奖</w:t>
      </w:r>
      <w:r>
        <w:rPr>
          <w:rFonts w:hint="eastAsia" w:ascii="仿宋" w:hAnsi="仿宋" w:eastAsia="仿宋" w:cs="仿宋"/>
          <w:sz w:val="32"/>
          <w:szCs w:val="32"/>
        </w:rPr>
        <w:t>。</w:t>
      </w:r>
    </w:p>
    <w:p>
      <w:pPr>
        <w:pStyle w:val="2"/>
        <w:ind w:left="0" w:firstLine="0" w:firstLineChars="0"/>
        <w:jc w:val="center"/>
        <w:rPr>
          <w:rFonts w:ascii="仿宋" w:hAnsi="仿宋" w:eastAsia="仿宋" w:cs="仿宋"/>
          <w:sz w:val="32"/>
          <w:szCs w:val="32"/>
        </w:rPr>
      </w:pPr>
      <w:r>
        <w:rPr>
          <w:rFonts w:ascii="宋体" w:hAnsi="宋体" w:cs="宋体"/>
          <w:sz w:val="24"/>
          <w:szCs w:val="24"/>
        </w:rPr>
        <w:drawing>
          <wp:inline distT="0" distB="0" distL="114300" distR="114300">
            <wp:extent cx="5304790" cy="3980815"/>
            <wp:effectExtent l="0" t="0" r="10160" b="635"/>
            <wp:docPr id="5"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IMG_256"/>
                    <pic:cNvPicPr>
                      <a:picLocks noChangeAspect="1"/>
                    </pic:cNvPicPr>
                  </pic:nvPicPr>
                  <pic:blipFill>
                    <a:blip r:embed="rId12"/>
                    <a:stretch>
                      <a:fillRect/>
                    </a:stretch>
                  </pic:blipFill>
                  <pic:spPr>
                    <a:xfrm>
                      <a:off x="0" y="0"/>
                      <a:ext cx="5304790" cy="3980815"/>
                    </a:xfrm>
                    <a:prstGeom prst="rect">
                      <a:avLst/>
                    </a:prstGeom>
                    <a:noFill/>
                    <a:ln>
                      <a:noFill/>
                    </a:ln>
                  </pic:spPr>
                </pic:pic>
              </a:graphicData>
            </a:graphic>
          </wp:inline>
        </w:drawing>
      </w:r>
    </w:p>
    <w:p>
      <w:pPr>
        <w:spacing w:line="600" w:lineRule="exact"/>
        <w:ind w:firstLine="640" w:firstLineChars="200"/>
        <w:outlineLvl w:val="2"/>
        <w:rPr>
          <w:rFonts w:ascii="仿宋" w:hAnsi="仿宋" w:eastAsia="仿宋" w:cs="仿宋"/>
          <w:sz w:val="32"/>
          <w:szCs w:val="32"/>
        </w:rPr>
      </w:pPr>
      <w:bookmarkStart w:id="6" w:name="_Toc8030"/>
      <w:r>
        <w:rPr>
          <w:rFonts w:hint="eastAsia" w:ascii="仿宋" w:hAnsi="仿宋" w:eastAsia="仿宋" w:cs="仿宋"/>
          <w:sz w:val="32"/>
          <w:szCs w:val="32"/>
        </w:rPr>
        <w:t>2、实施“教师梯队培养工程”，促进教师队伍专业成长。</w:t>
      </w:r>
      <w:bookmarkEnd w:id="6"/>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构建定位准确、层次清晰、衔接紧密的“新教师—双师型教师—骨干教师—名师”梯队培养体系。实施《指导青年教师工作规范》，落实“以老带新”机制，提高新教师培训力度，要求考取职业资格技能证书，</w:t>
      </w:r>
      <w:r>
        <w:rPr>
          <w:rFonts w:hint="eastAsia" w:ascii="仿宋" w:hAnsi="仿宋" w:eastAsia="仿宋" w:cs="仿宋"/>
          <w:b/>
          <w:bCs/>
          <w:sz w:val="32"/>
          <w:szCs w:val="32"/>
        </w:rPr>
        <w:t>使新教师尽快成长为“双师型”教师。</w:t>
      </w:r>
      <w:r>
        <w:rPr>
          <w:rFonts w:hint="eastAsia" w:ascii="仿宋" w:hAnsi="仿宋" w:eastAsia="仿宋" w:cs="仿宋"/>
          <w:sz w:val="32"/>
          <w:szCs w:val="32"/>
        </w:rPr>
        <w:t>实施学校专业带头人及骨干教师遴选办法及培养方案，与高校共建师资培养基地，与企业共建教师企业实践基地，落实教师下企业实践并参与企业项目开发，与省职教中心互派教研跟岗实践，与石坪洋村开展“送教下乡”助力乡村振兴，</w:t>
      </w:r>
      <w:r>
        <w:rPr>
          <w:rFonts w:hint="eastAsia" w:ascii="仿宋" w:hAnsi="仿宋" w:eastAsia="仿宋" w:cs="仿宋"/>
          <w:b/>
          <w:bCs/>
          <w:sz w:val="32"/>
          <w:szCs w:val="32"/>
        </w:rPr>
        <w:t>使“双师型”教师逐渐成长为骨干教师。</w:t>
      </w:r>
      <w:r>
        <w:rPr>
          <w:rFonts w:hint="eastAsia" w:ascii="仿宋" w:hAnsi="仿宋" w:eastAsia="仿宋" w:cs="仿宋"/>
          <w:sz w:val="32"/>
          <w:szCs w:val="32"/>
        </w:rPr>
        <w:t>遴选建设各级高水平结构化的教师教学创新团队，组织承办厅直属中职学校教学教研联盟示范课活动，申报培育省级教学名师及专业带头人，</w:t>
      </w:r>
      <w:r>
        <w:rPr>
          <w:rFonts w:hint="eastAsia" w:ascii="仿宋" w:hAnsi="仿宋" w:eastAsia="仿宋" w:cs="仿宋"/>
          <w:b/>
          <w:bCs/>
          <w:sz w:val="32"/>
          <w:szCs w:val="32"/>
        </w:rPr>
        <w:t>使骨干教师稳步成长为名师。</w:t>
      </w:r>
      <w:r>
        <w:rPr>
          <w:rFonts w:hint="eastAsia" w:ascii="仿宋" w:hAnsi="仿宋" w:eastAsia="仿宋" w:cs="仿宋"/>
          <w:sz w:val="32"/>
          <w:szCs w:val="32"/>
        </w:rPr>
        <w:t>同时修订完善专业技术岗位设置与聘用管理办法，适当增加正高级讲师的岗位职数，进一步拓展教师职业发展空间。学校设立教研评估中心、信息管理中心、班主任工作室，对各级教师的教科研能力、信息技术教学能力、班主任工作能力开展不同层次的培训提升。学校成为福建技术师范学院的首家基地校，成为福建省职业教育教师发展联盟的副理事长单位，进一步拓展教师培养培训渠道。</w:t>
      </w:r>
    </w:p>
    <w:p>
      <w:pPr>
        <w:pStyle w:val="2"/>
        <w:ind w:left="0" w:firstLine="0" w:firstLineChars="0"/>
        <w:jc w:val="center"/>
        <w:rPr>
          <w:rFonts w:ascii="仿宋" w:hAnsi="仿宋" w:eastAsia="仿宋" w:cs="仿宋"/>
          <w:sz w:val="32"/>
          <w:szCs w:val="32"/>
        </w:rPr>
      </w:pPr>
      <w:r>
        <w:rPr>
          <w:sz w:val="24"/>
          <w:szCs w:val="24"/>
        </w:rPr>
        <w:drawing>
          <wp:inline distT="0" distB="0" distL="114300" distR="114300">
            <wp:extent cx="5480050" cy="3656965"/>
            <wp:effectExtent l="0" t="0" r="6350" b="635"/>
            <wp:docPr id="6" name="图片 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1"/>
                    <pic:cNvPicPr>
                      <a:picLocks noChangeAspect="1"/>
                    </pic:cNvPicPr>
                  </pic:nvPicPr>
                  <pic:blipFill>
                    <a:blip r:embed="rId13"/>
                    <a:stretch>
                      <a:fillRect/>
                    </a:stretch>
                  </pic:blipFill>
                  <pic:spPr>
                    <a:xfrm>
                      <a:off x="0" y="0"/>
                      <a:ext cx="5480050" cy="3656965"/>
                    </a:xfrm>
                    <a:prstGeom prst="rect">
                      <a:avLst/>
                    </a:prstGeom>
                    <a:noFill/>
                    <a:ln>
                      <a:noFill/>
                    </a:ln>
                  </pic:spPr>
                </pic:pic>
              </a:graphicData>
            </a:graphic>
          </wp:inline>
        </w:drawing>
      </w:r>
    </w:p>
    <w:p>
      <w:pPr>
        <w:spacing w:line="600" w:lineRule="exact"/>
        <w:ind w:firstLine="640" w:firstLineChars="200"/>
        <w:outlineLvl w:val="2"/>
        <w:rPr>
          <w:rFonts w:ascii="仿宋" w:hAnsi="仿宋" w:eastAsia="仿宋" w:cs="仿宋"/>
          <w:sz w:val="32"/>
          <w:szCs w:val="32"/>
        </w:rPr>
      </w:pPr>
      <w:bookmarkStart w:id="7" w:name="_Toc29673"/>
      <w:r>
        <w:rPr>
          <w:rFonts w:hint="eastAsia" w:ascii="仿宋" w:hAnsi="仿宋" w:eastAsia="仿宋" w:cs="仿宋"/>
          <w:sz w:val="32"/>
          <w:szCs w:val="32"/>
        </w:rPr>
        <w:t>3、实施“多元人才引进工程”，优化教师队伍配置结构。</w:t>
      </w:r>
      <w:bookmarkEnd w:id="7"/>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学校不断拓宽引才渠道，根据专业发展需要，采取社会公开招聘、专项引进高层次人才、聘用企业兼职教师等</w:t>
      </w:r>
      <w:r>
        <w:rPr>
          <w:rFonts w:hint="eastAsia" w:ascii="仿宋" w:hAnsi="仿宋" w:eastAsia="仿宋" w:cs="仿宋"/>
          <w:sz w:val="32"/>
          <w:szCs w:val="32"/>
          <w:lang w:val="en-US" w:eastAsia="zh-CN"/>
        </w:rPr>
        <w:t>形式引进高素质教师</w:t>
      </w:r>
      <w:r>
        <w:rPr>
          <w:rFonts w:hint="eastAsia" w:ascii="仿宋" w:hAnsi="仿宋" w:eastAsia="仿宋" w:cs="仿宋"/>
          <w:sz w:val="32"/>
          <w:szCs w:val="32"/>
        </w:rPr>
        <w:t>。近三年公开招聘37名新教师，实行思想政治素质和业务能力双重考察，所招聘的专业教师要求硕士学位，实训指导教师要求技师职业资格。学校在省属中职学校中首次探索专项引进高层次人才，吸引了一批行业企业领军人才转变为在编在岗教师，促进人才培养与企业需求“无缝对接”。学校还建立完善企业技术人员与骨干教师互兼互聘制度，制定《特聘产业导师管理暂行办法》，探索“固定岗”和“流动岗”相结合的设岗用人办法。学校作为福建省示范性职业教育集团——福建省闽台汽车工业职教集团的牵头单位，从开展校企合作的大中型企业中聘用技术骨干通过兼职任教、指导师生实践、合作研究项目、参加专业建设指导委员会等方式参与教育教学工作。比如学校与福建东南汽车公司共建林杰技能大师工作室、劳模工作室，</w:t>
      </w:r>
      <w:r>
        <w:rPr>
          <w:rFonts w:hint="eastAsia" w:ascii="仿宋" w:hAnsi="仿宋" w:eastAsia="仿宋" w:cs="仿宋"/>
          <w:b/>
          <w:bCs/>
          <w:sz w:val="32"/>
          <w:szCs w:val="32"/>
        </w:rPr>
        <w:t>聘请国家级技能大师、全国五一劳动奖章获得者林杰技术长</w:t>
      </w:r>
      <w:r>
        <w:rPr>
          <w:rFonts w:hint="eastAsia" w:ascii="仿宋" w:hAnsi="仿宋" w:eastAsia="仿宋" w:cs="仿宋"/>
          <w:sz w:val="32"/>
          <w:szCs w:val="32"/>
        </w:rPr>
        <w:t>为汽车专业青年教师开展“传帮带”工作，探索实践“现代学徒制”人才培养的长效机制。</w:t>
      </w:r>
    </w:p>
    <w:p>
      <w:pPr>
        <w:pStyle w:val="2"/>
        <w:ind w:left="0" w:firstLine="0" w:firstLineChars="0"/>
        <w:jc w:val="center"/>
        <w:rPr>
          <w:rFonts w:ascii="仿宋" w:hAnsi="仿宋" w:eastAsia="仿宋" w:cs="仿宋"/>
          <w:sz w:val="32"/>
          <w:szCs w:val="32"/>
        </w:rPr>
      </w:pPr>
      <w:bookmarkStart w:id="8" w:name="_Toc7715"/>
      <w:r>
        <w:rPr>
          <w:sz w:val="24"/>
          <w:szCs w:val="24"/>
        </w:rPr>
        <w:drawing>
          <wp:inline distT="0" distB="0" distL="114300" distR="114300">
            <wp:extent cx="5213350" cy="3475355"/>
            <wp:effectExtent l="0" t="0" r="6350" b="10795"/>
            <wp:docPr id="7" name="图片 6" descr="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图1"/>
                    <pic:cNvPicPr>
                      <a:picLocks noChangeAspect="1"/>
                    </pic:cNvPicPr>
                  </pic:nvPicPr>
                  <pic:blipFill>
                    <a:blip r:embed="rId14"/>
                    <a:stretch>
                      <a:fillRect/>
                    </a:stretch>
                  </pic:blipFill>
                  <pic:spPr>
                    <a:xfrm>
                      <a:off x="0" y="0"/>
                      <a:ext cx="5213350" cy="3475355"/>
                    </a:xfrm>
                    <a:prstGeom prst="rect">
                      <a:avLst/>
                    </a:prstGeom>
                    <a:noFill/>
                    <a:ln>
                      <a:noFill/>
                    </a:ln>
                  </pic:spPr>
                </pic:pic>
              </a:graphicData>
            </a:graphic>
          </wp:inline>
        </w:drawing>
      </w:r>
    </w:p>
    <w:p>
      <w:pPr>
        <w:spacing w:line="600" w:lineRule="exact"/>
        <w:ind w:firstLine="640" w:firstLineChars="200"/>
        <w:outlineLvl w:val="2"/>
        <w:rPr>
          <w:rFonts w:ascii="仿宋" w:hAnsi="仿宋" w:eastAsia="仿宋" w:cs="仿宋"/>
          <w:sz w:val="32"/>
          <w:szCs w:val="32"/>
        </w:rPr>
      </w:pPr>
      <w:r>
        <w:rPr>
          <w:rFonts w:hint="eastAsia" w:ascii="仿宋" w:hAnsi="仿宋" w:eastAsia="仿宋" w:cs="仿宋"/>
          <w:sz w:val="32"/>
          <w:szCs w:val="32"/>
        </w:rPr>
        <w:t>4、实施“量化考核绩效工程”，激发教师队伍内生动力。</w:t>
      </w:r>
      <w:bookmarkEnd w:id="8"/>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注重以待遇激励人，建立完善量化评价考核体系及绩效激励机制。每学期依据《教师工作考核量化评分标准》，通过教务教学部门考核、教师自评、学生测评等方式相结合，从师德师风、业务表现、工作业绩等方面对教师进行多元化多层次的量化评分考核。每学年还依据《教师工作量计算办法》《绩效工资实施方案》对教师教育教学及教科研工作采取标准分量化核算，客观公正评价教师履职情况，据此发放基础性绩效工资和奖励性绩效工资，还依据各类专项奖励办法进行项目建设奖励。学校鼓励教师参与民主管理，关系教职工权益的重大制度出台都经教代会表决通过，营造风清气正的教育生态环境。</w:t>
      </w:r>
    </w:p>
    <w:p>
      <w:pPr>
        <w:pStyle w:val="2"/>
        <w:ind w:left="0" w:firstLine="0" w:firstLineChars="0"/>
        <w:rPr>
          <w:rFonts w:ascii="仿宋" w:hAnsi="仿宋" w:eastAsia="仿宋" w:cs="仿宋"/>
          <w:sz w:val="32"/>
          <w:szCs w:val="32"/>
        </w:rPr>
      </w:pPr>
      <w:r>
        <w:rPr>
          <w:rFonts w:hint="eastAsia" w:ascii="仿宋" w:hAnsi="仿宋" w:eastAsia="仿宋" w:cs="仿宋"/>
          <w:sz w:val="32"/>
          <w:szCs w:val="32"/>
        </w:rPr>
        <w:drawing>
          <wp:inline distT="0" distB="0" distL="114300" distR="114300">
            <wp:extent cx="5326380" cy="3439160"/>
            <wp:effectExtent l="0" t="0" r="7620" b="8890"/>
            <wp:docPr id="11" name="图片 11" descr="2020年迎国庆校园健身跑(2020.9.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020年迎国庆校园健身跑(2020.9.25)(1)"/>
                    <pic:cNvPicPr>
                      <a:picLocks noChangeAspect="1"/>
                    </pic:cNvPicPr>
                  </pic:nvPicPr>
                  <pic:blipFill>
                    <a:blip r:embed="rId15"/>
                    <a:stretch>
                      <a:fillRect/>
                    </a:stretch>
                  </pic:blipFill>
                  <pic:spPr>
                    <a:xfrm>
                      <a:off x="0" y="0"/>
                      <a:ext cx="5326380" cy="3439160"/>
                    </a:xfrm>
                    <a:prstGeom prst="rect">
                      <a:avLst/>
                    </a:prstGeom>
                  </pic:spPr>
                </pic:pic>
              </a:graphicData>
            </a:graphic>
          </wp:inline>
        </w:drawing>
      </w:r>
    </w:p>
    <w:p>
      <w:pPr>
        <w:spacing w:line="600" w:lineRule="exact"/>
        <w:ind w:firstLine="643" w:firstLineChars="200"/>
        <w:outlineLvl w:val="0"/>
        <w:rPr>
          <w:rFonts w:ascii="仿宋" w:hAnsi="仿宋" w:eastAsia="仿宋" w:cs="仿宋"/>
          <w:b/>
          <w:bCs/>
          <w:sz w:val="32"/>
          <w:szCs w:val="32"/>
        </w:rPr>
      </w:pPr>
      <w:bookmarkStart w:id="9" w:name="_Toc20118"/>
      <w:r>
        <w:rPr>
          <w:rFonts w:hint="eastAsia" w:ascii="仿宋" w:hAnsi="仿宋" w:eastAsia="仿宋" w:cs="仿宋"/>
          <w:b/>
          <w:bCs/>
          <w:sz w:val="32"/>
          <w:szCs w:val="32"/>
        </w:rPr>
        <w:t>三、建设成效</w:t>
      </w:r>
      <w:bookmarkEnd w:id="9"/>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一引领、两中心、四工程”师资队伍建设模式，促进学校高质量发展。学校双师型教师比例达90.3%，高级职称比例达31.9%，硕士及以上比例达42.8%，2019年以来教师获得省级以上表彰20人次，参加省级各类技能竞赛中获奖134人次，其中在职业院校教师教学能力比赛中获得8个省级一等奖或国家三等奖，立项研究26个省级课题。同时，人才培养质量也显著提升，学生考入高职本科院校的录取比例达94.3%，用人单位满意度达96%，2019年以来25名学生获得中职教育国家奖学金，参加省级以上各类技能竞赛获奖102组，其中29组获得省赛一等奖或国赛获奖。</w:t>
      </w:r>
    </w:p>
    <w:p>
      <w:pPr>
        <w:pStyle w:val="2"/>
        <w:ind w:left="0" w:firstLine="0" w:firstLineChars="0"/>
        <w:rPr>
          <w:rFonts w:ascii="仿宋" w:hAnsi="仿宋" w:eastAsia="仿宋" w:cs="仿宋"/>
          <w:sz w:val="32"/>
          <w:szCs w:val="32"/>
        </w:rPr>
      </w:pPr>
      <w:r>
        <w:rPr>
          <w:rFonts w:hint="eastAsia"/>
        </w:rPr>
        <w:drawing>
          <wp:inline distT="0" distB="0" distL="114300" distR="114300">
            <wp:extent cx="5133975" cy="3422015"/>
            <wp:effectExtent l="0" t="0" r="9525" b="6985"/>
            <wp:docPr id="8" name="图片 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descr="1"/>
                    <pic:cNvPicPr>
                      <a:picLocks noChangeAspect="1"/>
                    </pic:cNvPicPr>
                  </pic:nvPicPr>
                  <pic:blipFill>
                    <a:blip r:embed="rId16"/>
                    <a:stretch>
                      <a:fillRect/>
                    </a:stretch>
                  </pic:blipFill>
                  <pic:spPr>
                    <a:xfrm>
                      <a:off x="0" y="0"/>
                      <a:ext cx="5133975" cy="3422015"/>
                    </a:xfrm>
                    <a:prstGeom prst="rect">
                      <a:avLst/>
                    </a:prstGeom>
                    <a:noFill/>
                    <a:ln>
                      <a:noFill/>
                    </a:ln>
                  </pic:spPr>
                </pic:pic>
              </a:graphicData>
            </a:graphic>
          </wp:inline>
        </w:drawing>
      </w:r>
    </w:p>
    <w:p>
      <w:pPr>
        <w:pStyle w:val="2"/>
        <w:ind w:left="0" w:firstLine="0" w:firstLineChars="0"/>
        <w:rPr>
          <w:rFonts w:ascii="仿宋" w:hAnsi="仿宋" w:eastAsia="仿宋" w:cs="仿宋"/>
          <w:sz w:val="32"/>
          <w:szCs w:val="32"/>
        </w:rPr>
      </w:pPr>
      <w:r>
        <w:rPr>
          <w:rFonts w:ascii="宋体" w:hAnsi="宋体" w:cs="宋体"/>
          <w:sz w:val="24"/>
          <w:szCs w:val="24"/>
        </w:rPr>
        <w:drawing>
          <wp:inline distT="0" distB="0" distL="114300" distR="114300">
            <wp:extent cx="5198110" cy="3505200"/>
            <wp:effectExtent l="0" t="0" r="2540" b="0"/>
            <wp:docPr id="9"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descr="IMG_256"/>
                    <pic:cNvPicPr>
                      <a:picLocks noChangeAspect="1"/>
                    </pic:cNvPicPr>
                  </pic:nvPicPr>
                  <pic:blipFill>
                    <a:blip r:embed="rId17"/>
                    <a:stretch>
                      <a:fillRect/>
                    </a:stretch>
                  </pic:blipFill>
                  <pic:spPr>
                    <a:xfrm>
                      <a:off x="0" y="0"/>
                      <a:ext cx="5198110" cy="3505200"/>
                    </a:xfrm>
                    <a:prstGeom prst="rect">
                      <a:avLst/>
                    </a:prstGeom>
                    <a:noFill/>
                    <a:ln w="9525">
                      <a:noFill/>
                    </a:ln>
                  </pic:spPr>
                </pic:pic>
              </a:graphicData>
            </a:graphic>
          </wp:inline>
        </w:drawing>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近三年来，学校综合办学实力也大大提升，获得全国教育系统先进集体、国防教育特色学校、黄炎培职业教育优秀学校奖，连续六届荣获“省级文明校园”称号，在福建省“双高”职业院校中职学校中排名第一。学校贯彻落实习近平总书记亲自倡导推动的“闽宁对口扶贫协作”，发挥高素质“双师型”教师队伍作用，与宁夏灵武职教中心开展结对精准帮扶，荣获“全国职业院校脱贫攻坚先进集体”，并作为中职学校代表在会上做了经验分享。学校接待各类院校、企业来校调研交流办学经验及师资队伍建设达30多批次，在工人日报、新华网、福建教育电视台等20余家媒体上作了相关活动报道，充分发挥示范辐射作用。</w:t>
      </w:r>
    </w:p>
    <w:p>
      <w:pPr>
        <w:spacing w:line="600" w:lineRule="exact"/>
        <w:ind w:firstLine="640" w:firstLineChars="200"/>
        <w:rPr>
          <w:rFonts w:ascii="仿宋" w:hAnsi="仿宋" w:eastAsia="仿宋" w:cs="仿宋"/>
          <w:sz w:val="32"/>
          <w:szCs w:val="32"/>
        </w:rPr>
      </w:pPr>
    </w:p>
    <w:p>
      <w:pPr>
        <w:spacing w:line="600" w:lineRule="exact"/>
        <w:rPr>
          <w:rFonts w:ascii="仿宋" w:hAnsi="仿宋" w:eastAsia="仿宋" w:cs="仿宋"/>
          <w:sz w:val="32"/>
          <w:szCs w:val="32"/>
        </w:rPr>
      </w:pPr>
    </w:p>
    <w:sectPr>
      <w:footerReference r:id="rId5" w:type="default"/>
      <w:pgSz w:w="11906" w:h="16838"/>
      <w:pgMar w:top="1440" w:right="1746" w:bottom="1440" w:left="1746"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02EDE58-3411-4AE8-84B2-DDE5B593CEB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embedRegular r:id="rId2" w:fontKey="{B5E7E31D-5395-43A4-81A4-20F48F240381}"/>
  </w:font>
  <w:font w:name="汉仪程行简">
    <w:altName w:val="宋体"/>
    <w:panose1 w:val="00000000000000000000"/>
    <w:charset w:val="86"/>
    <w:family w:val="auto"/>
    <w:pitch w:val="default"/>
    <w:sig w:usb0="00000000" w:usb1="00000000" w:usb2="00000016" w:usb3="00000000" w:csb0="0004009F" w:csb1="DFD70000"/>
    <w:embedRegular r:id="rId3" w:fontKey="{88A487AD-3B8E-40E6-8259-24524905BD12}"/>
  </w:font>
  <w:font w:name="汉仪中宋简">
    <w:altName w:val="宋体"/>
    <w:panose1 w:val="00000000000000000000"/>
    <w:charset w:val="80"/>
    <w:family w:val="auto"/>
    <w:pitch w:val="default"/>
    <w:sig w:usb0="00000000" w:usb1="00000000" w:usb2="00000012" w:usb3="00000000" w:csb0="00020001" w:csb1="00000000"/>
    <w:embedRegular r:id="rId4" w:fontKey="{3B4892B5-612C-4D45-A6FD-9593DEC4CEE8}"/>
  </w:font>
  <w:font w:name="楷体">
    <w:panose1 w:val="02010609060101010101"/>
    <w:charset w:val="86"/>
    <w:family w:val="modern"/>
    <w:pitch w:val="default"/>
    <w:sig w:usb0="800002BF" w:usb1="38CF7CFA" w:usb2="00000016" w:usb3="00000000" w:csb0="00040001" w:csb1="00000000"/>
    <w:embedRegular r:id="rId5" w:fontKey="{AB09A28D-068A-4A4C-825C-EBD419AE9B90}"/>
  </w:font>
  <w:font w:name="方正公文小标宋">
    <w:panose1 w:val="02000500000000000000"/>
    <w:charset w:val="86"/>
    <w:family w:val="auto"/>
    <w:pitch w:val="default"/>
    <w:sig w:usb0="A00002BF" w:usb1="38CF7CFA" w:usb2="00000016" w:usb3="00000000" w:csb0="00040001" w:csb1="00000000"/>
    <w:embedRegular r:id="rId6" w:fontKey="{CAF3BD51-3E8A-4451-93D1-69222341626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2</w:t>
                    </w:r>
                    <w:r>
                      <w:fldChar w:fldCharType="end"/>
                    </w:r>
                  </w:p>
                </w:txbxContent>
              </v:textbox>
            </v:shape>
          </w:pict>
        </mc:Fallback>
      </mc:AlternateContent>
    </w:r>
    <w:r>
      <w:rPr>
        <w:rFonts w:hint="eastAsia"/>
      </w:rPr>
      <w:tab/>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Y3MWI5Njc0YzQzMTU1ODUwYWQ3M2ViMDExOGU2Y2EifQ=="/>
  </w:docVars>
  <w:rsids>
    <w:rsidRoot w:val="001927B8"/>
    <w:rsid w:val="0009416C"/>
    <w:rsid w:val="00121D60"/>
    <w:rsid w:val="00164A58"/>
    <w:rsid w:val="0018099E"/>
    <w:rsid w:val="001927B8"/>
    <w:rsid w:val="00290D25"/>
    <w:rsid w:val="002F522E"/>
    <w:rsid w:val="00323A19"/>
    <w:rsid w:val="0032707E"/>
    <w:rsid w:val="003D3A73"/>
    <w:rsid w:val="004B6D9B"/>
    <w:rsid w:val="00592BFD"/>
    <w:rsid w:val="00D74DF5"/>
    <w:rsid w:val="00DD5062"/>
    <w:rsid w:val="00EC227F"/>
    <w:rsid w:val="00EF7950"/>
    <w:rsid w:val="00F705B3"/>
    <w:rsid w:val="00F74A57"/>
    <w:rsid w:val="012913E6"/>
    <w:rsid w:val="01403AD4"/>
    <w:rsid w:val="014B7AE2"/>
    <w:rsid w:val="01830099"/>
    <w:rsid w:val="018557C9"/>
    <w:rsid w:val="019132E8"/>
    <w:rsid w:val="01A86762"/>
    <w:rsid w:val="01CC093B"/>
    <w:rsid w:val="01E925F2"/>
    <w:rsid w:val="01F43178"/>
    <w:rsid w:val="01FB0577"/>
    <w:rsid w:val="020941E0"/>
    <w:rsid w:val="02095476"/>
    <w:rsid w:val="020C62E0"/>
    <w:rsid w:val="026E0D49"/>
    <w:rsid w:val="027345B1"/>
    <w:rsid w:val="02883D39"/>
    <w:rsid w:val="02961794"/>
    <w:rsid w:val="02986018"/>
    <w:rsid w:val="02B91634"/>
    <w:rsid w:val="02DA2949"/>
    <w:rsid w:val="03011EF0"/>
    <w:rsid w:val="03362BD3"/>
    <w:rsid w:val="033A6423"/>
    <w:rsid w:val="0341645D"/>
    <w:rsid w:val="03D177E1"/>
    <w:rsid w:val="03F359AA"/>
    <w:rsid w:val="03FB03BA"/>
    <w:rsid w:val="04211571"/>
    <w:rsid w:val="04812FB5"/>
    <w:rsid w:val="04815E2B"/>
    <w:rsid w:val="04A72DDA"/>
    <w:rsid w:val="05050FB1"/>
    <w:rsid w:val="054D2E98"/>
    <w:rsid w:val="054E09BE"/>
    <w:rsid w:val="055024DA"/>
    <w:rsid w:val="055E107E"/>
    <w:rsid w:val="05B13F5A"/>
    <w:rsid w:val="05B54CB6"/>
    <w:rsid w:val="05D830A9"/>
    <w:rsid w:val="062736E9"/>
    <w:rsid w:val="0648365F"/>
    <w:rsid w:val="06782196"/>
    <w:rsid w:val="06897E52"/>
    <w:rsid w:val="06994C36"/>
    <w:rsid w:val="06BA1995"/>
    <w:rsid w:val="06CC603E"/>
    <w:rsid w:val="06D27AF8"/>
    <w:rsid w:val="06EF3008"/>
    <w:rsid w:val="06F55739"/>
    <w:rsid w:val="070E48A8"/>
    <w:rsid w:val="0754556F"/>
    <w:rsid w:val="07677C87"/>
    <w:rsid w:val="07A1396F"/>
    <w:rsid w:val="07FD58DA"/>
    <w:rsid w:val="080C528C"/>
    <w:rsid w:val="084802DC"/>
    <w:rsid w:val="08613011"/>
    <w:rsid w:val="089112ED"/>
    <w:rsid w:val="08B04160"/>
    <w:rsid w:val="08B82506"/>
    <w:rsid w:val="08B952DA"/>
    <w:rsid w:val="08E37A2F"/>
    <w:rsid w:val="08F04266"/>
    <w:rsid w:val="08F32B3C"/>
    <w:rsid w:val="091D5CDA"/>
    <w:rsid w:val="09392893"/>
    <w:rsid w:val="094D629A"/>
    <w:rsid w:val="09672CB9"/>
    <w:rsid w:val="09731054"/>
    <w:rsid w:val="099700EE"/>
    <w:rsid w:val="09C645FB"/>
    <w:rsid w:val="09DC0C8E"/>
    <w:rsid w:val="09FC4E8C"/>
    <w:rsid w:val="0A21532C"/>
    <w:rsid w:val="0ABC1693"/>
    <w:rsid w:val="0AC97464"/>
    <w:rsid w:val="0B083CC0"/>
    <w:rsid w:val="0B4A2842"/>
    <w:rsid w:val="0B512FB6"/>
    <w:rsid w:val="0B633415"/>
    <w:rsid w:val="0B6D2EF8"/>
    <w:rsid w:val="0BB2614A"/>
    <w:rsid w:val="0BCF54D1"/>
    <w:rsid w:val="0BEE4C7F"/>
    <w:rsid w:val="0C3D36B1"/>
    <w:rsid w:val="0C547201"/>
    <w:rsid w:val="0C8278CB"/>
    <w:rsid w:val="0C8510A9"/>
    <w:rsid w:val="0CD43E9E"/>
    <w:rsid w:val="0CD914B5"/>
    <w:rsid w:val="0D3017FC"/>
    <w:rsid w:val="0D5F75A7"/>
    <w:rsid w:val="0D637AF5"/>
    <w:rsid w:val="0D6944A8"/>
    <w:rsid w:val="0D735465"/>
    <w:rsid w:val="0DB75A40"/>
    <w:rsid w:val="0E04613A"/>
    <w:rsid w:val="0E427791"/>
    <w:rsid w:val="0EB57F80"/>
    <w:rsid w:val="0F346E76"/>
    <w:rsid w:val="0F4449AA"/>
    <w:rsid w:val="0F602DAB"/>
    <w:rsid w:val="0F8F35E7"/>
    <w:rsid w:val="0FC65D20"/>
    <w:rsid w:val="0FD92952"/>
    <w:rsid w:val="100A326B"/>
    <w:rsid w:val="10366760"/>
    <w:rsid w:val="103A04BC"/>
    <w:rsid w:val="10501A8E"/>
    <w:rsid w:val="10593038"/>
    <w:rsid w:val="107F4CDB"/>
    <w:rsid w:val="10B24963"/>
    <w:rsid w:val="10BC7123"/>
    <w:rsid w:val="10C61E7A"/>
    <w:rsid w:val="10F5507A"/>
    <w:rsid w:val="111D7BC2"/>
    <w:rsid w:val="113028E2"/>
    <w:rsid w:val="116A3044"/>
    <w:rsid w:val="11AA5D0A"/>
    <w:rsid w:val="11C12C43"/>
    <w:rsid w:val="11CE5360"/>
    <w:rsid w:val="11CF6595"/>
    <w:rsid w:val="11D07440"/>
    <w:rsid w:val="12042516"/>
    <w:rsid w:val="120451D4"/>
    <w:rsid w:val="123D7598"/>
    <w:rsid w:val="125C296C"/>
    <w:rsid w:val="12624426"/>
    <w:rsid w:val="128438DD"/>
    <w:rsid w:val="12880BE8"/>
    <w:rsid w:val="129C720C"/>
    <w:rsid w:val="12C773B4"/>
    <w:rsid w:val="12F4149A"/>
    <w:rsid w:val="13641CD2"/>
    <w:rsid w:val="13673F7F"/>
    <w:rsid w:val="13674050"/>
    <w:rsid w:val="138E124B"/>
    <w:rsid w:val="13A4281C"/>
    <w:rsid w:val="13E203CB"/>
    <w:rsid w:val="13F05A62"/>
    <w:rsid w:val="140A2D54"/>
    <w:rsid w:val="141334FE"/>
    <w:rsid w:val="14B00D4D"/>
    <w:rsid w:val="15060EBD"/>
    <w:rsid w:val="152A0AFF"/>
    <w:rsid w:val="15400301"/>
    <w:rsid w:val="15472F28"/>
    <w:rsid w:val="1550571B"/>
    <w:rsid w:val="15892D48"/>
    <w:rsid w:val="15C61C55"/>
    <w:rsid w:val="15D102CB"/>
    <w:rsid w:val="165072F3"/>
    <w:rsid w:val="167B3DB8"/>
    <w:rsid w:val="16D40DE1"/>
    <w:rsid w:val="16E34270"/>
    <w:rsid w:val="16F14194"/>
    <w:rsid w:val="170610F8"/>
    <w:rsid w:val="171C091C"/>
    <w:rsid w:val="179000BC"/>
    <w:rsid w:val="17D2454C"/>
    <w:rsid w:val="17D64F6F"/>
    <w:rsid w:val="17DC43BC"/>
    <w:rsid w:val="17FD16CE"/>
    <w:rsid w:val="185100CE"/>
    <w:rsid w:val="18876269"/>
    <w:rsid w:val="18891FE1"/>
    <w:rsid w:val="189438C5"/>
    <w:rsid w:val="18F643B3"/>
    <w:rsid w:val="193A19B3"/>
    <w:rsid w:val="19487815"/>
    <w:rsid w:val="194D300E"/>
    <w:rsid w:val="19704BF2"/>
    <w:rsid w:val="19866F7A"/>
    <w:rsid w:val="198C24BF"/>
    <w:rsid w:val="199944A6"/>
    <w:rsid w:val="19F12987"/>
    <w:rsid w:val="19FF3933"/>
    <w:rsid w:val="1A3348FA"/>
    <w:rsid w:val="1A3B37AF"/>
    <w:rsid w:val="1A596143"/>
    <w:rsid w:val="1AA66FBB"/>
    <w:rsid w:val="1AEB4ED1"/>
    <w:rsid w:val="1AFC0863"/>
    <w:rsid w:val="1BC17758"/>
    <w:rsid w:val="1C172AC9"/>
    <w:rsid w:val="1C427076"/>
    <w:rsid w:val="1C626DD1"/>
    <w:rsid w:val="1C7C39C6"/>
    <w:rsid w:val="1C831630"/>
    <w:rsid w:val="1C8E3897"/>
    <w:rsid w:val="1CA078F9"/>
    <w:rsid w:val="1CB707DF"/>
    <w:rsid w:val="1CCB7D67"/>
    <w:rsid w:val="1CF716BE"/>
    <w:rsid w:val="1CF83AA2"/>
    <w:rsid w:val="1D0B2E39"/>
    <w:rsid w:val="1D162875"/>
    <w:rsid w:val="1D216B94"/>
    <w:rsid w:val="1D7E5864"/>
    <w:rsid w:val="1DA06387"/>
    <w:rsid w:val="1DC615E1"/>
    <w:rsid w:val="1DC75A85"/>
    <w:rsid w:val="1DFF0C87"/>
    <w:rsid w:val="1E011134"/>
    <w:rsid w:val="1E945864"/>
    <w:rsid w:val="1ED85A70"/>
    <w:rsid w:val="1F726FC2"/>
    <w:rsid w:val="1FA802B9"/>
    <w:rsid w:val="1FC711E7"/>
    <w:rsid w:val="1FDD4AC9"/>
    <w:rsid w:val="200C3221"/>
    <w:rsid w:val="204472B3"/>
    <w:rsid w:val="205904EB"/>
    <w:rsid w:val="209A6C1F"/>
    <w:rsid w:val="20CE712B"/>
    <w:rsid w:val="20F0576F"/>
    <w:rsid w:val="20F679B0"/>
    <w:rsid w:val="210E639D"/>
    <w:rsid w:val="21712E4D"/>
    <w:rsid w:val="218755AB"/>
    <w:rsid w:val="21B463FC"/>
    <w:rsid w:val="21D94BA3"/>
    <w:rsid w:val="222114DC"/>
    <w:rsid w:val="223E208E"/>
    <w:rsid w:val="22916662"/>
    <w:rsid w:val="22EF5136"/>
    <w:rsid w:val="23305114"/>
    <w:rsid w:val="23761D1E"/>
    <w:rsid w:val="237860A1"/>
    <w:rsid w:val="23FD02A2"/>
    <w:rsid w:val="2403321B"/>
    <w:rsid w:val="249F1298"/>
    <w:rsid w:val="24CB179E"/>
    <w:rsid w:val="24FC1C4E"/>
    <w:rsid w:val="25052E0F"/>
    <w:rsid w:val="251B53D9"/>
    <w:rsid w:val="25AF0FEF"/>
    <w:rsid w:val="25C91C6F"/>
    <w:rsid w:val="25C97C38"/>
    <w:rsid w:val="261F3F85"/>
    <w:rsid w:val="2627528A"/>
    <w:rsid w:val="264B2FCC"/>
    <w:rsid w:val="2666570F"/>
    <w:rsid w:val="26A24576"/>
    <w:rsid w:val="26D44D6F"/>
    <w:rsid w:val="26EB0D68"/>
    <w:rsid w:val="26EF3957"/>
    <w:rsid w:val="27475541"/>
    <w:rsid w:val="274C2B57"/>
    <w:rsid w:val="27F31225"/>
    <w:rsid w:val="28036086"/>
    <w:rsid w:val="28077E5F"/>
    <w:rsid w:val="284D6D75"/>
    <w:rsid w:val="285F1C26"/>
    <w:rsid w:val="288F6E29"/>
    <w:rsid w:val="28D0473D"/>
    <w:rsid w:val="29497DAA"/>
    <w:rsid w:val="29631412"/>
    <w:rsid w:val="297736EF"/>
    <w:rsid w:val="29B066E8"/>
    <w:rsid w:val="29B608D8"/>
    <w:rsid w:val="29F143F6"/>
    <w:rsid w:val="2A021BF3"/>
    <w:rsid w:val="2AD840A3"/>
    <w:rsid w:val="2ADE7F6A"/>
    <w:rsid w:val="2AE27D26"/>
    <w:rsid w:val="2AE31A25"/>
    <w:rsid w:val="2AED28A3"/>
    <w:rsid w:val="2B0B75DF"/>
    <w:rsid w:val="2B2B69CB"/>
    <w:rsid w:val="2B8A3D12"/>
    <w:rsid w:val="2BA34576"/>
    <w:rsid w:val="2C1520B2"/>
    <w:rsid w:val="2C1A76C8"/>
    <w:rsid w:val="2C2C2F57"/>
    <w:rsid w:val="2C5935C7"/>
    <w:rsid w:val="2C9E00E8"/>
    <w:rsid w:val="2CBA0563"/>
    <w:rsid w:val="2DAC4350"/>
    <w:rsid w:val="2DC162AB"/>
    <w:rsid w:val="2DD41AF8"/>
    <w:rsid w:val="2DD85145"/>
    <w:rsid w:val="2DDB46C0"/>
    <w:rsid w:val="2E476184"/>
    <w:rsid w:val="2E4E23FE"/>
    <w:rsid w:val="2E633990"/>
    <w:rsid w:val="2E661983"/>
    <w:rsid w:val="2EA712DE"/>
    <w:rsid w:val="2EF04710"/>
    <w:rsid w:val="2F59017E"/>
    <w:rsid w:val="2F7075FF"/>
    <w:rsid w:val="2F811DCF"/>
    <w:rsid w:val="2F9B0B20"/>
    <w:rsid w:val="2FD302BA"/>
    <w:rsid w:val="30121BBD"/>
    <w:rsid w:val="301B2D20"/>
    <w:rsid w:val="302503E9"/>
    <w:rsid w:val="30291185"/>
    <w:rsid w:val="302C5C1C"/>
    <w:rsid w:val="3032417B"/>
    <w:rsid w:val="303F594F"/>
    <w:rsid w:val="30442F65"/>
    <w:rsid w:val="30474804"/>
    <w:rsid w:val="309F1A06"/>
    <w:rsid w:val="30BA4D13"/>
    <w:rsid w:val="30F05651"/>
    <w:rsid w:val="30F54260"/>
    <w:rsid w:val="31662A68"/>
    <w:rsid w:val="31CF685F"/>
    <w:rsid w:val="31D15742"/>
    <w:rsid w:val="31DB16A7"/>
    <w:rsid w:val="3255145A"/>
    <w:rsid w:val="3276317E"/>
    <w:rsid w:val="32967B42"/>
    <w:rsid w:val="32C71C2C"/>
    <w:rsid w:val="33030EB6"/>
    <w:rsid w:val="332845FB"/>
    <w:rsid w:val="332A4581"/>
    <w:rsid w:val="336456CD"/>
    <w:rsid w:val="33BB11CE"/>
    <w:rsid w:val="33C6524F"/>
    <w:rsid w:val="33C81642"/>
    <w:rsid w:val="342509B8"/>
    <w:rsid w:val="342866FA"/>
    <w:rsid w:val="3444459E"/>
    <w:rsid w:val="344B2247"/>
    <w:rsid w:val="344F1ED9"/>
    <w:rsid w:val="346F6CBE"/>
    <w:rsid w:val="347B6B12"/>
    <w:rsid w:val="34A5514D"/>
    <w:rsid w:val="34D52C1E"/>
    <w:rsid w:val="351D2E62"/>
    <w:rsid w:val="352265C7"/>
    <w:rsid w:val="352275ED"/>
    <w:rsid w:val="3553221A"/>
    <w:rsid w:val="360A3EC3"/>
    <w:rsid w:val="361651B5"/>
    <w:rsid w:val="362B4280"/>
    <w:rsid w:val="368C042F"/>
    <w:rsid w:val="36C36A7C"/>
    <w:rsid w:val="36CF10AF"/>
    <w:rsid w:val="36F30FAF"/>
    <w:rsid w:val="37024FE0"/>
    <w:rsid w:val="37072D8A"/>
    <w:rsid w:val="371F3DE4"/>
    <w:rsid w:val="37252584"/>
    <w:rsid w:val="377D6D5D"/>
    <w:rsid w:val="377F2AD5"/>
    <w:rsid w:val="37AB5678"/>
    <w:rsid w:val="37B07013"/>
    <w:rsid w:val="37D82EBE"/>
    <w:rsid w:val="37EF0A4F"/>
    <w:rsid w:val="37FE0E2D"/>
    <w:rsid w:val="380130AC"/>
    <w:rsid w:val="383E029A"/>
    <w:rsid w:val="387737AC"/>
    <w:rsid w:val="38775A0A"/>
    <w:rsid w:val="38904AB5"/>
    <w:rsid w:val="38A31EC0"/>
    <w:rsid w:val="39002A92"/>
    <w:rsid w:val="390F1C37"/>
    <w:rsid w:val="39180AEB"/>
    <w:rsid w:val="391A0D07"/>
    <w:rsid w:val="39890999"/>
    <w:rsid w:val="398919E9"/>
    <w:rsid w:val="398F5433"/>
    <w:rsid w:val="39C00510"/>
    <w:rsid w:val="39C91C16"/>
    <w:rsid w:val="39DA3FF3"/>
    <w:rsid w:val="3A304F3B"/>
    <w:rsid w:val="3A7C5D33"/>
    <w:rsid w:val="3AEF6F06"/>
    <w:rsid w:val="3B220329"/>
    <w:rsid w:val="3B5F3821"/>
    <w:rsid w:val="3B6E4C22"/>
    <w:rsid w:val="3B883444"/>
    <w:rsid w:val="3C060596"/>
    <w:rsid w:val="3C2F4C16"/>
    <w:rsid w:val="3C3C2D43"/>
    <w:rsid w:val="3C5872C1"/>
    <w:rsid w:val="3C85300E"/>
    <w:rsid w:val="3C8F37BA"/>
    <w:rsid w:val="3C914800"/>
    <w:rsid w:val="3CBE7BFC"/>
    <w:rsid w:val="3CBF23F0"/>
    <w:rsid w:val="3CDE7DED"/>
    <w:rsid w:val="3CFA586A"/>
    <w:rsid w:val="3D1D4598"/>
    <w:rsid w:val="3D3C0959"/>
    <w:rsid w:val="3D5F222C"/>
    <w:rsid w:val="3D6668A6"/>
    <w:rsid w:val="3E0710DD"/>
    <w:rsid w:val="3E38578C"/>
    <w:rsid w:val="3E6B5B61"/>
    <w:rsid w:val="3E6F38A3"/>
    <w:rsid w:val="3E85224B"/>
    <w:rsid w:val="3EAA1618"/>
    <w:rsid w:val="3F246D01"/>
    <w:rsid w:val="3F892114"/>
    <w:rsid w:val="3F942E96"/>
    <w:rsid w:val="3F9F1F66"/>
    <w:rsid w:val="3FB274E6"/>
    <w:rsid w:val="3FC217B1"/>
    <w:rsid w:val="3FE2019B"/>
    <w:rsid w:val="3FE931E1"/>
    <w:rsid w:val="405860EE"/>
    <w:rsid w:val="40635C59"/>
    <w:rsid w:val="40636C62"/>
    <w:rsid w:val="40A97216"/>
    <w:rsid w:val="40AD719E"/>
    <w:rsid w:val="40B12AC5"/>
    <w:rsid w:val="4111135E"/>
    <w:rsid w:val="41475EDD"/>
    <w:rsid w:val="41483F38"/>
    <w:rsid w:val="414F7F09"/>
    <w:rsid w:val="415238F7"/>
    <w:rsid w:val="41BD2B78"/>
    <w:rsid w:val="422229DB"/>
    <w:rsid w:val="42245529"/>
    <w:rsid w:val="423311D7"/>
    <w:rsid w:val="42472BF8"/>
    <w:rsid w:val="4292190E"/>
    <w:rsid w:val="429513FF"/>
    <w:rsid w:val="42B76D8C"/>
    <w:rsid w:val="435535EE"/>
    <w:rsid w:val="43945D14"/>
    <w:rsid w:val="43DB5D75"/>
    <w:rsid w:val="43EF3579"/>
    <w:rsid w:val="441219F8"/>
    <w:rsid w:val="441F3562"/>
    <w:rsid w:val="445E38A7"/>
    <w:rsid w:val="445F5EC9"/>
    <w:rsid w:val="446505FA"/>
    <w:rsid w:val="448434D9"/>
    <w:rsid w:val="44DF1057"/>
    <w:rsid w:val="44E624DA"/>
    <w:rsid w:val="44EA6AAC"/>
    <w:rsid w:val="44FF3A19"/>
    <w:rsid w:val="452E45E0"/>
    <w:rsid w:val="453F16A3"/>
    <w:rsid w:val="45443DFF"/>
    <w:rsid w:val="45DD6E08"/>
    <w:rsid w:val="45EB69ED"/>
    <w:rsid w:val="45FD23EC"/>
    <w:rsid w:val="460951E5"/>
    <w:rsid w:val="46333408"/>
    <w:rsid w:val="467557CF"/>
    <w:rsid w:val="46A36EFA"/>
    <w:rsid w:val="46AE2A8F"/>
    <w:rsid w:val="46B972B8"/>
    <w:rsid w:val="46DC584E"/>
    <w:rsid w:val="470D3AEC"/>
    <w:rsid w:val="47112B5F"/>
    <w:rsid w:val="47136D96"/>
    <w:rsid w:val="471C3DDF"/>
    <w:rsid w:val="471F398D"/>
    <w:rsid w:val="4729393A"/>
    <w:rsid w:val="475A6773"/>
    <w:rsid w:val="4794174A"/>
    <w:rsid w:val="479E27DF"/>
    <w:rsid w:val="47B265AF"/>
    <w:rsid w:val="47C05A64"/>
    <w:rsid w:val="47FE7A46"/>
    <w:rsid w:val="481F5F09"/>
    <w:rsid w:val="484624D9"/>
    <w:rsid w:val="48657F2A"/>
    <w:rsid w:val="48920E52"/>
    <w:rsid w:val="489A2E95"/>
    <w:rsid w:val="48AD6F34"/>
    <w:rsid w:val="48BB02CE"/>
    <w:rsid w:val="48BB2FBF"/>
    <w:rsid w:val="48FB5B7B"/>
    <w:rsid w:val="490746D8"/>
    <w:rsid w:val="49284D7B"/>
    <w:rsid w:val="49A42A49"/>
    <w:rsid w:val="4A063DC6"/>
    <w:rsid w:val="4A7F7133"/>
    <w:rsid w:val="4AC62A9D"/>
    <w:rsid w:val="4AD131F0"/>
    <w:rsid w:val="4AD55B10"/>
    <w:rsid w:val="4AE616BF"/>
    <w:rsid w:val="4B0D743B"/>
    <w:rsid w:val="4B30034B"/>
    <w:rsid w:val="4B425E9C"/>
    <w:rsid w:val="4B441C14"/>
    <w:rsid w:val="4B7666AB"/>
    <w:rsid w:val="4BDD5875"/>
    <w:rsid w:val="4C16297D"/>
    <w:rsid w:val="4C1D06F8"/>
    <w:rsid w:val="4C2819FD"/>
    <w:rsid w:val="4C806C7C"/>
    <w:rsid w:val="4CAC181F"/>
    <w:rsid w:val="4CBB2CE9"/>
    <w:rsid w:val="4CD43CE2"/>
    <w:rsid w:val="4D0E072B"/>
    <w:rsid w:val="4D135D42"/>
    <w:rsid w:val="4D491288"/>
    <w:rsid w:val="4D720CBA"/>
    <w:rsid w:val="4D812CAB"/>
    <w:rsid w:val="4D891B60"/>
    <w:rsid w:val="4D9F1F6F"/>
    <w:rsid w:val="4DC564DA"/>
    <w:rsid w:val="4E235B10"/>
    <w:rsid w:val="4E393586"/>
    <w:rsid w:val="4E5A52AA"/>
    <w:rsid w:val="4EAD037D"/>
    <w:rsid w:val="4EEA1C29"/>
    <w:rsid w:val="4F10078B"/>
    <w:rsid w:val="4F36029F"/>
    <w:rsid w:val="501F0559"/>
    <w:rsid w:val="502B6EFE"/>
    <w:rsid w:val="50642410"/>
    <w:rsid w:val="510C6D30"/>
    <w:rsid w:val="511856D5"/>
    <w:rsid w:val="51346287"/>
    <w:rsid w:val="515F79A9"/>
    <w:rsid w:val="51962A9D"/>
    <w:rsid w:val="51B33B02"/>
    <w:rsid w:val="51F31C9E"/>
    <w:rsid w:val="520046A7"/>
    <w:rsid w:val="524444C2"/>
    <w:rsid w:val="525A0D5F"/>
    <w:rsid w:val="52AD62F0"/>
    <w:rsid w:val="52C5363A"/>
    <w:rsid w:val="53195185"/>
    <w:rsid w:val="532F31A9"/>
    <w:rsid w:val="536C1ECE"/>
    <w:rsid w:val="539121D1"/>
    <w:rsid w:val="53A12BD8"/>
    <w:rsid w:val="53AF02EC"/>
    <w:rsid w:val="53B67427"/>
    <w:rsid w:val="53DD04F4"/>
    <w:rsid w:val="53E45D42"/>
    <w:rsid w:val="53F35F85"/>
    <w:rsid w:val="5427053F"/>
    <w:rsid w:val="5438094B"/>
    <w:rsid w:val="545E3D46"/>
    <w:rsid w:val="54686973"/>
    <w:rsid w:val="5472193F"/>
    <w:rsid w:val="547644D0"/>
    <w:rsid w:val="54A56D60"/>
    <w:rsid w:val="54AD25D8"/>
    <w:rsid w:val="54B90F7D"/>
    <w:rsid w:val="54D63A30"/>
    <w:rsid w:val="5520724E"/>
    <w:rsid w:val="55562D81"/>
    <w:rsid w:val="55723393"/>
    <w:rsid w:val="55AB2B36"/>
    <w:rsid w:val="55ED29C8"/>
    <w:rsid w:val="56040230"/>
    <w:rsid w:val="561B28E4"/>
    <w:rsid w:val="565C7239"/>
    <w:rsid w:val="56637E23"/>
    <w:rsid w:val="56AD4B11"/>
    <w:rsid w:val="56B07C71"/>
    <w:rsid w:val="56CF0295"/>
    <w:rsid w:val="56D93B58"/>
    <w:rsid w:val="56F25B84"/>
    <w:rsid w:val="572A43B4"/>
    <w:rsid w:val="57875362"/>
    <w:rsid w:val="58043EDD"/>
    <w:rsid w:val="581F559B"/>
    <w:rsid w:val="58564D34"/>
    <w:rsid w:val="589D1D9B"/>
    <w:rsid w:val="58F20F01"/>
    <w:rsid w:val="592F6BF1"/>
    <w:rsid w:val="59771602"/>
    <w:rsid w:val="5A0E3B19"/>
    <w:rsid w:val="5A1153B7"/>
    <w:rsid w:val="5A221ED3"/>
    <w:rsid w:val="5A290952"/>
    <w:rsid w:val="5A70032F"/>
    <w:rsid w:val="5A9D4E9D"/>
    <w:rsid w:val="5AAC3332"/>
    <w:rsid w:val="5ADB5479"/>
    <w:rsid w:val="5AE86A30"/>
    <w:rsid w:val="5B116C41"/>
    <w:rsid w:val="5B1F04F4"/>
    <w:rsid w:val="5B5C6B06"/>
    <w:rsid w:val="5B6219E0"/>
    <w:rsid w:val="5B767B40"/>
    <w:rsid w:val="5BA70533"/>
    <w:rsid w:val="5BC80B8E"/>
    <w:rsid w:val="5BCB215D"/>
    <w:rsid w:val="5C2D4699"/>
    <w:rsid w:val="5C451348"/>
    <w:rsid w:val="5C4B18C7"/>
    <w:rsid w:val="5C854FFD"/>
    <w:rsid w:val="5C871960"/>
    <w:rsid w:val="5C8B6750"/>
    <w:rsid w:val="5C9625A8"/>
    <w:rsid w:val="5CA940FC"/>
    <w:rsid w:val="5CB247B7"/>
    <w:rsid w:val="5CD16172"/>
    <w:rsid w:val="5CE77665"/>
    <w:rsid w:val="5CE86853"/>
    <w:rsid w:val="5D0D4DE0"/>
    <w:rsid w:val="5D35760E"/>
    <w:rsid w:val="5DB0123F"/>
    <w:rsid w:val="5DEA43BA"/>
    <w:rsid w:val="5E051485"/>
    <w:rsid w:val="5E3873B6"/>
    <w:rsid w:val="5E6749D8"/>
    <w:rsid w:val="5E6D4B86"/>
    <w:rsid w:val="5EA06D09"/>
    <w:rsid w:val="5EEC72E0"/>
    <w:rsid w:val="5F5D4BFA"/>
    <w:rsid w:val="5F810387"/>
    <w:rsid w:val="5F8F74AA"/>
    <w:rsid w:val="5FC52828"/>
    <w:rsid w:val="5FDE41B9"/>
    <w:rsid w:val="5FF82AD9"/>
    <w:rsid w:val="60016769"/>
    <w:rsid w:val="600A2FD4"/>
    <w:rsid w:val="600E4181"/>
    <w:rsid w:val="60372198"/>
    <w:rsid w:val="606F1089"/>
    <w:rsid w:val="60C10D92"/>
    <w:rsid w:val="60CD36F7"/>
    <w:rsid w:val="61027A7B"/>
    <w:rsid w:val="612400C6"/>
    <w:rsid w:val="61427EB8"/>
    <w:rsid w:val="61550219"/>
    <w:rsid w:val="61C242DB"/>
    <w:rsid w:val="61E0223F"/>
    <w:rsid w:val="61E86E5E"/>
    <w:rsid w:val="6236396A"/>
    <w:rsid w:val="627A3EB2"/>
    <w:rsid w:val="6283385B"/>
    <w:rsid w:val="62E84742"/>
    <w:rsid w:val="634026FE"/>
    <w:rsid w:val="637B11EF"/>
    <w:rsid w:val="6380639B"/>
    <w:rsid w:val="63D75258"/>
    <w:rsid w:val="64356063"/>
    <w:rsid w:val="648A6492"/>
    <w:rsid w:val="64907E3B"/>
    <w:rsid w:val="64C0735C"/>
    <w:rsid w:val="64C62B78"/>
    <w:rsid w:val="64CA796F"/>
    <w:rsid w:val="64DB461D"/>
    <w:rsid w:val="65100DA6"/>
    <w:rsid w:val="652572AF"/>
    <w:rsid w:val="656F3050"/>
    <w:rsid w:val="65714AF4"/>
    <w:rsid w:val="65827169"/>
    <w:rsid w:val="65A746F4"/>
    <w:rsid w:val="65D50ABD"/>
    <w:rsid w:val="66303069"/>
    <w:rsid w:val="66444430"/>
    <w:rsid w:val="668D3716"/>
    <w:rsid w:val="66A7157D"/>
    <w:rsid w:val="66A80E51"/>
    <w:rsid w:val="66ED5936"/>
    <w:rsid w:val="67084B79"/>
    <w:rsid w:val="68141F96"/>
    <w:rsid w:val="68210EBB"/>
    <w:rsid w:val="68324DEB"/>
    <w:rsid w:val="68525518"/>
    <w:rsid w:val="68675DF2"/>
    <w:rsid w:val="688F6C5D"/>
    <w:rsid w:val="68953657"/>
    <w:rsid w:val="68985CB9"/>
    <w:rsid w:val="689C52CA"/>
    <w:rsid w:val="69781B4C"/>
    <w:rsid w:val="69991C88"/>
    <w:rsid w:val="69FC1BE0"/>
    <w:rsid w:val="6A114861"/>
    <w:rsid w:val="6A8572EA"/>
    <w:rsid w:val="6A88688D"/>
    <w:rsid w:val="6A95402B"/>
    <w:rsid w:val="6A9D03E7"/>
    <w:rsid w:val="6AC369D9"/>
    <w:rsid w:val="6AE71660"/>
    <w:rsid w:val="6B054A88"/>
    <w:rsid w:val="6B371960"/>
    <w:rsid w:val="6B45709F"/>
    <w:rsid w:val="6B4A0729"/>
    <w:rsid w:val="6B56531F"/>
    <w:rsid w:val="6B9A16B0"/>
    <w:rsid w:val="6BC41DB9"/>
    <w:rsid w:val="6C3F7B62"/>
    <w:rsid w:val="6C515AE7"/>
    <w:rsid w:val="6C5D448C"/>
    <w:rsid w:val="6C68212C"/>
    <w:rsid w:val="6C7F08A6"/>
    <w:rsid w:val="6C8E4C33"/>
    <w:rsid w:val="6CA616DB"/>
    <w:rsid w:val="6CCE55B8"/>
    <w:rsid w:val="6CD155C9"/>
    <w:rsid w:val="6CE64481"/>
    <w:rsid w:val="6D06067F"/>
    <w:rsid w:val="6DC908F7"/>
    <w:rsid w:val="6E0F7A08"/>
    <w:rsid w:val="6E596AE4"/>
    <w:rsid w:val="6E8C1058"/>
    <w:rsid w:val="6EF74724"/>
    <w:rsid w:val="6F364C2F"/>
    <w:rsid w:val="6F392F8E"/>
    <w:rsid w:val="6F435BBB"/>
    <w:rsid w:val="6F9769AB"/>
    <w:rsid w:val="6FB46F97"/>
    <w:rsid w:val="6FE974C3"/>
    <w:rsid w:val="6FF53990"/>
    <w:rsid w:val="6FF631DD"/>
    <w:rsid w:val="70170A8F"/>
    <w:rsid w:val="702A0B29"/>
    <w:rsid w:val="703379DD"/>
    <w:rsid w:val="70433998"/>
    <w:rsid w:val="708727AC"/>
    <w:rsid w:val="70A2124C"/>
    <w:rsid w:val="70C83C00"/>
    <w:rsid w:val="70CA394F"/>
    <w:rsid w:val="70E64A50"/>
    <w:rsid w:val="70FA499F"/>
    <w:rsid w:val="70FB4ED6"/>
    <w:rsid w:val="714258B8"/>
    <w:rsid w:val="715562CA"/>
    <w:rsid w:val="715F4802"/>
    <w:rsid w:val="71733A89"/>
    <w:rsid w:val="71836D47"/>
    <w:rsid w:val="71C039A7"/>
    <w:rsid w:val="71C07997"/>
    <w:rsid w:val="71ED0094"/>
    <w:rsid w:val="72035469"/>
    <w:rsid w:val="725620A9"/>
    <w:rsid w:val="726A345E"/>
    <w:rsid w:val="72BF19FC"/>
    <w:rsid w:val="72CA284D"/>
    <w:rsid w:val="730833A3"/>
    <w:rsid w:val="732D6613"/>
    <w:rsid w:val="735A1725"/>
    <w:rsid w:val="736D76AA"/>
    <w:rsid w:val="737E5413"/>
    <w:rsid w:val="73B438FF"/>
    <w:rsid w:val="73C82B32"/>
    <w:rsid w:val="73CF4C73"/>
    <w:rsid w:val="73FD6192"/>
    <w:rsid w:val="7431692A"/>
    <w:rsid w:val="743F5C73"/>
    <w:rsid w:val="745B3E97"/>
    <w:rsid w:val="74CB28DA"/>
    <w:rsid w:val="74CE5F27"/>
    <w:rsid w:val="74DD0860"/>
    <w:rsid w:val="75C537CD"/>
    <w:rsid w:val="76211834"/>
    <w:rsid w:val="765C6FAE"/>
    <w:rsid w:val="765F75BE"/>
    <w:rsid w:val="76D37A56"/>
    <w:rsid w:val="76E3678B"/>
    <w:rsid w:val="77221CA7"/>
    <w:rsid w:val="776C7C79"/>
    <w:rsid w:val="77915EC1"/>
    <w:rsid w:val="77C81863"/>
    <w:rsid w:val="77D73344"/>
    <w:rsid w:val="78096F4B"/>
    <w:rsid w:val="782D11B6"/>
    <w:rsid w:val="783138DB"/>
    <w:rsid w:val="78627EE7"/>
    <w:rsid w:val="78745037"/>
    <w:rsid w:val="78815994"/>
    <w:rsid w:val="78E26444"/>
    <w:rsid w:val="793D18CD"/>
    <w:rsid w:val="794357C4"/>
    <w:rsid w:val="794F0D84"/>
    <w:rsid w:val="795B309E"/>
    <w:rsid w:val="7A012B76"/>
    <w:rsid w:val="7A3251AA"/>
    <w:rsid w:val="7A543372"/>
    <w:rsid w:val="7A770543"/>
    <w:rsid w:val="7AD71843"/>
    <w:rsid w:val="7ADD3367"/>
    <w:rsid w:val="7B0A3A34"/>
    <w:rsid w:val="7B123DE2"/>
    <w:rsid w:val="7B523A2D"/>
    <w:rsid w:val="7B5B428C"/>
    <w:rsid w:val="7B7470FC"/>
    <w:rsid w:val="7BA06143"/>
    <w:rsid w:val="7BA168FB"/>
    <w:rsid w:val="7BBA0FB3"/>
    <w:rsid w:val="7BBD3F04"/>
    <w:rsid w:val="7BDB0514"/>
    <w:rsid w:val="7BE75B20"/>
    <w:rsid w:val="7C8A3339"/>
    <w:rsid w:val="7CAD5210"/>
    <w:rsid w:val="7D060D93"/>
    <w:rsid w:val="7D40053F"/>
    <w:rsid w:val="7D470F6C"/>
    <w:rsid w:val="7D682D47"/>
    <w:rsid w:val="7D985434"/>
    <w:rsid w:val="7DB70B54"/>
    <w:rsid w:val="7DC720AD"/>
    <w:rsid w:val="7DEC363C"/>
    <w:rsid w:val="7E022D25"/>
    <w:rsid w:val="7E221091"/>
    <w:rsid w:val="7E3E411D"/>
    <w:rsid w:val="7EE50A3C"/>
    <w:rsid w:val="7F3B19BF"/>
    <w:rsid w:val="7F65523E"/>
    <w:rsid w:val="7FE002A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10">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Body Text First Indent"/>
    <w:basedOn w:val="3"/>
    <w:qFormat/>
    <w:uiPriority w:val="0"/>
    <w:pPr>
      <w:spacing w:after="120"/>
      <w:ind w:firstLine="420" w:firstLineChars="100"/>
    </w:pPr>
    <w:rPr>
      <w:rFonts w:ascii="Calibri" w:hAnsi="Calibri" w:eastAsia="宋体" w:cs="Times New Roman"/>
      <w:color w:val="000000"/>
      <w:kern w:val="0"/>
      <w:sz w:val="20"/>
      <w:szCs w:val="20"/>
      <w:lang w:val="en-US" w:bidi="ar-SA"/>
    </w:rPr>
  </w:style>
  <w:style w:type="paragraph" w:styleId="3">
    <w:name w:val="Body Text"/>
    <w:basedOn w:val="1"/>
    <w:qFormat/>
    <w:uiPriority w:val="0"/>
    <w:pPr>
      <w:spacing w:before="214"/>
      <w:ind w:left="277"/>
    </w:pPr>
    <w:rPr>
      <w:rFonts w:ascii="仿宋" w:hAnsi="仿宋" w:eastAsia="仿宋" w:cs="仿宋"/>
      <w:sz w:val="32"/>
      <w:szCs w:val="32"/>
      <w:lang w:val="zh-CN" w:bidi="zh-CN"/>
    </w:rPr>
  </w:style>
  <w:style w:type="paragraph" w:styleId="4">
    <w:name w:val="toc 3"/>
    <w:basedOn w:val="1"/>
    <w:next w:val="1"/>
    <w:qFormat/>
    <w:uiPriority w:val="0"/>
    <w:pPr>
      <w:ind w:left="840" w:leftChars="400"/>
    </w:p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toc 1"/>
    <w:basedOn w:val="1"/>
    <w:next w:val="1"/>
    <w:qFormat/>
    <w:uiPriority w:val="0"/>
  </w:style>
  <w:style w:type="paragraph" w:styleId="8">
    <w:name w:val="toc 2"/>
    <w:basedOn w:val="1"/>
    <w:next w:val="1"/>
    <w:qFormat/>
    <w:uiPriority w:val="0"/>
    <w:pPr>
      <w:ind w:left="420" w:leftChars="200"/>
    </w:pPr>
  </w:style>
  <w:style w:type="paragraph" w:customStyle="1" w:styleId="11">
    <w:name w:val="WPSOffice手动目录 1"/>
    <w:qFormat/>
    <w:uiPriority w:val="0"/>
    <w:rPr>
      <w:rFonts w:ascii="Times New Roman" w:hAnsi="Times New Roman" w:eastAsia="宋体" w:cs="Times New Roman"/>
      <w:lang w:val="en-US" w:eastAsia="zh-CN" w:bidi="ar-SA"/>
    </w:rPr>
  </w:style>
  <w:style w:type="paragraph" w:customStyle="1" w:styleId="12">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13">
    <w:name w:val="WPSOffice手动目录 3"/>
    <w:qFormat/>
    <w:uiPriority w:val="0"/>
    <w:pPr>
      <w:ind w:left="400" w:leftChars="400"/>
    </w:pPr>
    <w:rPr>
      <w:rFonts w:ascii="Times New Roman" w:hAnsi="Times New Roman" w:eastAsia="宋体" w:cs="Times New Roman"/>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11.png"/><Relationship Id="rId16" Type="http://schemas.openxmlformats.org/officeDocument/2006/relationships/image" Target="media/image10.jpeg"/><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Pages>
  <Words>3598</Words>
  <Characters>3648</Characters>
  <Lines>29</Lines>
  <Paragraphs>8</Paragraphs>
  <TotalTime>17</TotalTime>
  <ScaleCrop>false</ScaleCrop>
  <LinksUpToDate>false</LinksUpToDate>
  <CharactersWithSpaces>3680</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2022-11-14T02:41:00Z</dcterms:created>
  <dc:creator>lp</dc:creator>
  <cp:lastModifiedBy>吴国庆</cp:lastModifiedBy>
  <dcterms:modified xsi:type="dcterms:W3CDTF">2023-06-06T14:44:11Z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C70C78C2BD134E10979E826773C58AF7</vt:lpwstr>
  </property>
</Properties>
</file>