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06" w:hRule="atLeast"/>
        </w:trPr>
        <w:tc>
          <w:tcPr>
            <w:tcW w:w="9286" w:type="dxa"/>
          </w:tcPr>
          <w:p>
            <w:pPr>
              <w:spacing w:before="240" w:after="240" w:line="560" w:lineRule="exact"/>
              <w:jc w:val="center"/>
              <w:rPr>
                <w:rFonts w:ascii="方正小标宋简体" w:hAnsi="方正小标宋简体" w:eastAsia="方正小标宋简体" w:cs="华文中宋"/>
                <w:b/>
                <w:bCs/>
                <w:color w:val="000000"/>
                <w:kern w:val="0"/>
                <w:sz w:val="34"/>
                <w:szCs w:val="34"/>
                <w:lang w:bidi="ar"/>
              </w:rPr>
            </w:pPr>
            <w:r>
              <w:rPr>
                <w:rFonts w:hint="eastAsia" w:ascii="方正小标宋简体" w:hAnsi="方正小标宋简体" w:eastAsia="方正小标宋简体" w:cs="华文中宋"/>
                <w:b/>
                <w:bCs/>
                <w:color w:val="000000"/>
                <w:kern w:val="0"/>
                <w:sz w:val="34"/>
                <w:szCs w:val="34"/>
                <w:lang w:bidi="ar"/>
              </w:rPr>
              <w:t>构建“3</w:t>
            </w:r>
            <w:r>
              <w:rPr>
                <w:rFonts w:ascii="方正小标宋简体" w:hAnsi="方正小标宋简体" w:eastAsia="方正小标宋简体" w:cs="华文中宋"/>
                <w:b/>
                <w:bCs/>
                <w:color w:val="000000"/>
                <w:kern w:val="0"/>
                <w:sz w:val="34"/>
                <w:szCs w:val="34"/>
                <w:lang w:bidi="ar"/>
              </w:rPr>
              <w:t>34</w:t>
            </w:r>
            <w:r>
              <w:rPr>
                <w:rFonts w:hint="eastAsia" w:ascii="方正小标宋简体" w:hAnsi="方正小标宋简体" w:eastAsia="方正小标宋简体" w:cs="华文中宋"/>
                <w:b/>
                <w:bCs/>
                <w:color w:val="000000"/>
                <w:kern w:val="0"/>
                <w:sz w:val="34"/>
                <w:szCs w:val="34"/>
                <w:lang w:bidi="ar"/>
              </w:rPr>
              <w:t>”</w:t>
            </w:r>
            <w:r>
              <w:rPr>
                <w:rFonts w:hint="eastAsia" w:ascii="方正小标宋简体" w:hAnsi="方正小标宋简体" w:eastAsia="方正小标宋简体" w:cs="华文中宋"/>
                <w:b/>
                <w:bCs/>
                <w:color w:val="000000" w:themeColor="text1"/>
                <w:kern w:val="0"/>
                <w:sz w:val="34"/>
                <w:szCs w:val="34"/>
                <w:lang w:bidi="ar"/>
                <w14:textFill>
                  <w14:solidFill>
                    <w14:schemeClr w14:val="tx1"/>
                  </w14:solidFill>
                </w14:textFill>
              </w:rPr>
              <w:t>引育</w:t>
            </w:r>
            <w:r>
              <w:rPr>
                <w:rFonts w:ascii="方正小标宋简体" w:hAnsi="方正小标宋简体" w:eastAsia="方正小标宋简体" w:cs="华文中宋"/>
                <w:b/>
                <w:bCs/>
                <w:color w:val="000000" w:themeColor="text1"/>
                <w:kern w:val="0"/>
                <w:sz w:val="34"/>
                <w:szCs w:val="34"/>
                <w:lang w:bidi="ar"/>
                <w14:textFill>
                  <w14:solidFill>
                    <w14:schemeClr w14:val="tx1"/>
                  </w14:solidFill>
                </w14:textFill>
              </w:rPr>
              <w:t>工</w:t>
            </w:r>
            <w:r>
              <w:rPr>
                <w:rFonts w:hint="eastAsia" w:ascii="方正小标宋简体" w:hAnsi="方正小标宋简体" w:eastAsia="方正小标宋简体" w:cs="华文中宋"/>
                <w:b/>
                <w:bCs/>
                <w:color w:val="000000" w:themeColor="text1"/>
                <w:kern w:val="0"/>
                <w:sz w:val="34"/>
                <w:szCs w:val="34"/>
                <w:lang w:bidi="ar"/>
                <w14:textFill>
                  <w14:solidFill>
                    <w14:schemeClr w14:val="tx1"/>
                  </w14:solidFill>
                </w14:textFill>
              </w:rPr>
              <w:t>作</w:t>
            </w:r>
            <w:r>
              <w:rPr>
                <w:rFonts w:hint="eastAsia" w:ascii="方正小标宋简体" w:hAnsi="方正小标宋简体" w:eastAsia="方正小标宋简体" w:cs="华文中宋"/>
                <w:b/>
                <w:bCs/>
                <w:color w:val="000000"/>
                <w:kern w:val="0"/>
                <w:sz w:val="34"/>
                <w:szCs w:val="34"/>
                <w:lang w:bidi="ar"/>
              </w:rPr>
              <w:t>体系，建设高水平“双师”队伍</w:t>
            </w:r>
          </w:p>
          <w:p>
            <w:pPr>
              <w:spacing w:line="560" w:lineRule="exact"/>
              <w:ind w:firstLine="560"/>
              <w:jc w:val="right"/>
              <w:rPr>
                <w:rFonts w:hint="default" w:ascii="仿宋_GB2312" w:hAnsi="宋体" w:eastAsia="仿宋_GB2312" w:cs="宋体"/>
                <w:kern w:val="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  <w:lang w:val="en-US" w:eastAsia="zh-CN"/>
              </w:rPr>
              <w:t>—</w:t>
            </w:r>
            <w:bookmarkStart w:id="3" w:name="_GoBack"/>
            <w:bookmarkEnd w:id="3"/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  <w:lang w:val="en-US" w:eastAsia="zh-CN"/>
              </w:rPr>
              <w:t>—金华职业技术学院</w:t>
            </w:r>
          </w:p>
          <w:p>
            <w:pPr>
              <w:spacing w:line="560" w:lineRule="exact"/>
              <w:ind w:firstLine="560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“多士成大业，群贤济宏图”，学校的发展离不开高水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平师资队伍的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支撑。金华职业技术学院以“双高”建设为契机，大力实施“人才强校”战略，以师德师风建设为引领，以师资结构优化、“双师”素质提升、教师发展成长为主线，构建了“334”的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引育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工作体系，着力打造高水平“双师”队伍，为学校高质量发展提供强有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力的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人才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支撑和智力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保障。</w:t>
            </w:r>
          </w:p>
          <w:p>
            <w:pPr>
              <w:spacing w:line="560" w:lineRule="exact"/>
              <w:ind w:left="562"/>
              <w:rPr>
                <w:rFonts w:ascii="黑体" w:hAnsi="黑体" w:eastAsia="黑体" w:cs="宋体"/>
                <w:b/>
                <w:bCs/>
                <w:kern w:val="0"/>
                <w:sz w:val="32"/>
                <w:szCs w:val="32"/>
              </w:rPr>
            </w:pPr>
            <w:bookmarkStart w:id="0" w:name="_Toc88574408"/>
            <w:bookmarkStart w:id="1" w:name="_Toc88230507"/>
            <w:r>
              <w:rPr>
                <w:rFonts w:hint="eastAsia" w:ascii="黑体" w:hAnsi="黑体" w:eastAsia="黑体" w:cs="宋体"/>
                <w:b/>
                <w:bCs/>
                <w:kern w:val="0"/>
                <w:sz w:val="32"/>
                <w:szCs w:val="32"/>
              </w:rPr>
              <w:t>一、实施师德师风“三大”工程，铸魂固本强根基</w:t>
            </w:r>
          </w:p>
          <w:p>
            <w:pPr>
              <w:spacing w:line="560" w:lineRule="exact"/>
              <w:ind w:firstLine="562"/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</w:pPr>
            <w:r>
              <w:rPr>
                <w:rFonts w:hint="eastAsia" w:ascii="楷体" w:hAnsi="楷体" w:eastAsia="楷体" w:cs="宋体"/>
                <w:b/>
                <w:bCs/>
                <w:kern w:val="0"/>
                <w:sz w:val="32"/>
                <w:szCs w:val="32"/>
              </w:rPr>
              <w:t>（一）“</w:t>
            </w:r>
            <w:r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  <w:t>师德示范引领</w:t>
            </w:r>
            <w:r>
              <w:rPr>
                <w:rFonts w:hint="eastAsia" w:ascii="楷体" w:hAnsi="楷体" w:eastAsia="楷体" w:cs="宋体"/>
                <w:b/>
                <w:bCs/>
                <w:kern w:val="0"/>
                <w:sz w:val="32"/>
                <w:szCs w:val="32"/>
              </w:rPr>
              <w:t>”</w:t>
            </w:r>
            <w:r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  <w:t>工程</w:t>
            </w:r>
          </w:p>
          <w:p>
            <w:pPr>
              <w:spacing w:line="560" w:lineRule="exact"/>
              <w:ind w:firstLine="560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学校强化树立师德师风的模范典型，弘扬尊师重教的良好风尚，构建了学校先进集体和个人评选表彰等荣誉遴选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体系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；每年组织开展“三十佳教师”“最受师生喜爱的教师”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等形式多样的优秀教师和团体评选活动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；拓展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示范典型宣传渠道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，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通过网站、校报、微信公众号等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途径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，以及在教师节、“七一”等重大节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日组织表彰大会、荣休仪式等方式，表扬宣传师德师风优秀教师和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团队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。</w:t>
            </w:r>
          </w:p>
          <w:p>
            <w:pPr>
              <w:spacing w:line="560" w:lineRule="exact"/>
              <w:ind w:firstLine="562"/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</w:pPr>
            <w:r>
              <w:rPr>
                <w:rFonts w:hint="eastAsia" w:ascii="楷体" w:hAnsi="楷体" w:eastAsia="楷体" w:cs="宋体"/>
                <w:b/>
                <w:bCs/>
                <w:kern w:val="0"/>
                <w:sz w:val="32"/>
                <w:szCs w:val="32"/>
              </w:rPr>
              <w:t>（二）“</w:t>
            </w:r>
            <w:r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  <w:t>师德规范践行</w:t>
            </w:r>
            <w:r>
              <w:rPr>
                <w:rFonts w:hint="eastAsia" w:ascii="楷体" w:hAnsi="楷体" w:eastAsia="楷体" w:cs="宋体"/>
                <w:b/>
                <w:bCs/>
                <w:kern w:val="0"/>
                <w:sz w:val="32"/>
                <w:szCs w:val="32"/>
              </w:rPr>
              <w:t>”</w:t>
            </w:r>
            <w:r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  <w:t>工程</w:t>
            </w:r>
          </w:p>
          <w:p>
            <w:pPr>
              <w:spacing w:line="560" w:lineRule="exact"/>
              <w:ind w:firstLine="560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学校成立党委教师工作委员会，构建党委集中统一领导，党政齐抓共管，教师工作部统筹协调，各部门履职尽责、协同配合的大教师工作格局；建立健全学校党委、学院党组织、教师党支部三级联动的教师工作机制，利用专题学习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、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三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会一课、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政策宣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讲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等活动，强化基层党组织在教师思想政治和师德师风建设中的作用，在教师成长和管理各环节严格落实师德师风第一标准。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 xml:space="preserve"> </w:t>
            </w:r>
          </w:p>
          <w:p>
            <w:pPr>
              <w:spacing w:line="560" w:lineRule="exact"/>
              <w:ind w:firstLine="562"/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</w:pPr>
            <w:r>
              <w:rPr>
                <w:rFonts w:hint="eastAsia" w:ascii="楷体" w:hAnsi="楷体" w:eastAsia="楷体" w:cs="宋体"/>
                <w:b/>
                <w:bCs/>
                <w:kern w:val="0"/>
                <w:sz w:val="32"/>
                <w:szCs w:val="32"/>
              </w:rPr>
              <w:t>（三）“</w:t>
            </w:r>
            <w:r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  <w:t>师德警示宣教</w:t>
            </w:r>
            <w:r>
              <w:rPr>
                <w:rFonts w:hint="eastAsia" w:ascii="楷体" w:hAnsi="楷体" w:eastAsia="楷体" w:cs="宋体"/>
                <w:b/>
                <w:bCs/>
                <w:kern w:val="0"/>
                <w:sz w:val="32"/>
                <w:szCs w:val="32"/>
              </w:rPr>
              <w:t>”</w:t>
            </w:r>
            <w:r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  <w:t>工程</w:t>
            </w:r>
          </w:p>
          <w:p>
            <w:pPr>
              <w:spacing w:line="560" w:lineRule="exact"/>
              <w:ind w:firstLine="562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学校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坚持严管与厚爱结合、教育与宣传并重，把师德师风贯穿于教师日常行为规范中，把教书育人和自我修养有机结合起来，牢固树立起底线意识、红线意识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；配套出台《师德师风建设管理办法》《师德负面清单和失范行为处理办法（试行）》《教职工处分实施办法》等系列制度，健全教育培养、激励惩处、追究问责等机制，强化师德监督，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明确师德失范的底线、红线，规范教师从教行为，构建规范行为的“防火墙”。</w:t>
            </w:r>
          </w:p>
          <w:p>
            <w:pPr>
              <w:spacing w:line="560" w:lineRule="exact"/>
              <w:ind w:firstLine="560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近3年学校新增全国模范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教师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1人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，全国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五一劳动奖章获得者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1人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、浙江省“最美教师”1人、浙江省黄炎培职业教育奖杰出教师奖1人、浙江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省教书育人楷模1人</w:t>
            </w:r>
            <w:r>
              <w:rPr>
                <w:rFonts w:hint="eastAsia" w:ascii="仿宋_GB2312" w:hAnsi="Times New Roman" w:eastAsia="仿宋_GB2312" w:cs="Times New Roman"/>
                <w:kern w:val="0"/>
                <w:sz w:val="32"/>
                <w:szCs w:val="32"/>
              </w:rPr>
              <w:t>。</w:t>
            </w:r>
          </w:p>
          <w:p>
            <w:pPr>
              <w:spacing w:line="560" w:lineRule="exact"/>
              <w:ind w:left="562"/>
              <w:rPr>
                <w:rFonts w:ascii="黑体" w:hAnsi="黑体" w:eastAsia="黑体" w:cs="宋体"/>
                <w:b/>
                <w:bCs/>
                <w:kern w:val="0"/>
                <w:sz w:val="32"/>
                <w:szCs w:val="32"/>
              </w:rPr>
            </w:pPr>
            <w:r>
              <w:rPr>
                <w:rFonts w:hint="eastAsia" w:ascii="黑体" w:hAnsi="黑体" w:eastAsia="黑体" w:cs="宋体"/>
                <w:b/>
                <w:bCs/>
                <w:kern w:val="0"/>
                <w:sz w:val="32"/>
                <w:szCs w:val="32"/>
              </w:rPr>
              <w:t>二、实施体制培养“三双”计划，提能塑形</w:t>
            </w:r>
            <w:r>
              <w:rPr>
                <w:rFonts w:ascii="黑体" w:hAnsi="黑体" w:eastAsia="黑体" w:cs="宋体"/>
                <w:b/>
                <w:bCs/>
                <w:kern w:val="0"/>
                <w:sz w:val="32"/>
                <w:szCs w:val="32"/>
              </w:rPr>
              <w:t>优结构</w:t>
            </w:r>
          </w:p>
          <w:p>
            <w:pPr>
              <w:spacing w:line="560" w:lineRule="exact"/>
              <w:ind w:firstLine="562"/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</w:pPr>
            <w:r>
              <w:rPr>
                <w:rFonts w:hint="eastAsia" w:ascii="楷体" w:hAnsi="楷体" w:eastAsia="楷体" w:cs="宋体"/>
                <w:b/>
                <w:bCs/>
                <w:kern w:val="0"/>
                <w:sz w:val="32"/>
                <w:szCs w:val="32"/>
              </w:rPr>
              <w:t>（一）实施“双峰”计划，</w:t>
            </w:r>
            <w:bookmarkEnd w:id="0"/>
            <w:bookmarkEnd w:id="1"/>
            <w:r>
              <w:rPr>
                <w:rFonts w:hint="eastAsia" w:ascii="楷体" w:hAnsi="楷体" w:eastAsia="楷体" w:cs="宋体"/>
                <w:b/>
                <w:bCs/>
                <w:kern w:val="0"/>
                <w:sz w:val="32"/>
                <w:szCs w:val="32"/>
              </w:rPr>
              <w:t>建设高层次专业带头人</w:t>
            </w:r>
          </w:p>
          <w:p>
            <w:pPr>
              <w:spacing w:line="560" w:lineRule="exact"/>
              <w:ind w:firstLine="562"/>
              <w:rPr>
                <w:rFonts w:ascii="仿宋_GB2312" w:hAnsi="楷体" w:eastAsia="仿宋_GB2312" w:cs="宋体"/>
                <w:b/>
                <w:bCs/>
                <w:kern w:val="0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b/>
                <w:kern w:val="0"/>
                <w:sz w:val="32"/>
                <w:szCs w:val="32"/>
              </w:rPr>
              <w:t>一</w:t>
            </w:r>
            <w:r>
              <w:rPr>
                <w:rFonts w:ascii="仿宋_GB2312" w:hAnsi="宋体" w:eastAsia="仿宋_GB2312" w:cs="宋体"/>
                <w:b/>
                <w:kern w:val="0"/>
                <w:sz w:val="32"/>
                <w:szCs w:val="32"/>
              </w:rPr>
              <w:t>是</w:t>
            </w:r>
            <w:r>
              <w:rPr>
                <w:rFonts w:hint="eastAsia" w:ascii="仿宋_GB2312" w:hAnsi="宋体" w:eastAsia="仿宋_GB2312" w:cs="宋体"/>
                <w:b/>
                <w:kern w:val="0"/>
                <w:sz w:val="32"/>
                <w:szCs w:val="32"/>
              </w:rPr>
              <w:t>实施“尖峰”计划，加强高层次人才引进。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学校按照A、B、C、D四类专业，Ⅰ、Ⅱ、Ⅲ、Ⅳ”四类人才设置不同标准、不同待遇的分层分类“尖峰”人才引进计划；设置“尖峰”产业导师、“尖峰”讲座教授等不同类型岗位，分类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型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柔性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引进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高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层次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优秀人才。</w:t>
            </w:r>
            <w:r>
              <w:rPr>
                <w:rFonts w:hint="eastAsia" w:ascii="仿宋_GB2312" w:hAnsi="宋体" w:eastAsia="仿宋_GB2312" w:cs="宋体"/>
                <w:b/>
                <w:kern w:val="0"/>
                <w:sz w:val="32"/>
                <w:szCs w:val="32"/>
              </w:rPr>
              <w:t>二</w:t>
            </w:r>
            <w:r>
              <w:rPr>
                <w:rFonts w:ascii="仿宋_GB2312" w:hAnsi="宋体" w:eastAsia="仿宋_GB2312" w:cs="宋体"/>
                <w:b/>
                <w:kern w:val="0"/>
                <w:sz w:val="32"/>
                <w:szCs w:val="32"/>
              </w:rPr>
              <w:t>是</w:t>
            </w:r>
            <w:r>
              <w:rPr>
                <w:rFonts w:hint="eastAsia" w:ascii="仿宋_GB2312" w:hAnsi="宋体" w:eastAsia="仿宋_GB2312" w:cs="宋体"/>
                <w:b/>
                <w:kern w:val="0"/>
                <w:sz w:val="32"/>
                <w:szCs w:val="32"/>
              </w:rPr>
              <w:t>实施</w:t>
            </w:r>
            <w:r>
              <w:rPr>
                <w:rFonts w:ascii="仿宋_GB2312" w:hAnsi="宋体" w:eastAsia="仿宋_GB2312" w:cs="宋体"/>
                <w:b/>
                <w:kern w:val="0"/>
                <w:sz w:val="32"/>
                <w:szCs w:val="32"/>
              </w:rPr>
              <w:t xml:space="preserve"> </w:t>
            </w:r>
            <w:r>
              <w:rPr>
                <w:rFonts w:hint="eastAsia" w:ascii="仿宋_GB2312" w:hAnsi="宋体" w:eastAsia="仿宋_GB2312" w:cs="宋体"/>
                <w:b/>
                <w:kern w:val="0"/>
                <w:sz w:val="32"/>
                <w:szCs w:val="32"/>
              </w:rPr>
              <w:t>“攀峰”计划，健全内部人才梯队建设。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根据不同年龄、业绩条件校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内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遴选“攀峰”学者、杰青、晨星三类人才，按照“竞聘上岗、合同管理、绩效考核、动态调整”的原则开展聘用与管理，对三类人才分别给予每年8万、5万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、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3万元的绩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效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经费奖励。</w:t>
            </w:r>
          </w:p>
          <w:p>
            <w:pPr>
              <w:jc w:val="center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hint="eastAsia" w:ascii="仿宋_GB2312" w:hAnsi="Times New Roman" w:eastAsia="仿宋_GB2312" w:cs="Times New Roman"/>
                <w:kern w:val="0"/>
                <w:sz w:val="32"/>
                <w:szCs w:val="32"/>
              </w:rPr>
              <w:drawing>
                <wp:inline distT="0" distB="0" distL="0" distR="0">
                  <wp:extent cx="5543550" cy="3265805"/>
                  <wp:effectExtent l="0" t="0" r="0" b="0"/>
                  <wp:docPr id="10" name="图片 10" descr="图表, 图示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图表, 图示&#10;&#10;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9002" cy="3269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560" w:lineRule="exact"/>
              <w:jc w:val="center"/>
              <w:rPr>
                <w:rFonts w:ascii="宋体" w:hAnsi="宋体" w:eastAsia="宋体" w:cs="宋体"/>
                <w:b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kern w:val="0"/>
                <w:sz w:val="24"/>
                <w:szCs w:val="24"/>
              </w:rPr>
              <w:t>图</w:t>
            </w:r>
            <w:r>
              <w:rPr>
                <w:rFonts w:ascii="宋体" w:hAnsi="宋体" w:eastAsia="宋体" w:cs="宋体"/>
                <w:b/>
                <w:kern w:val="0"/>
                <w:sz w:val="24"/>
                <w:szCs w:val="24"/>
              </w:rPr>
              <w:t>1</w:t>
            </w:r>
            <w:r>
              <w:rPr>
                <w:rFonts w:hint="eastAsia" w:ascii="宋体" w:hAnsi="宋体" w:eastAsia="宋体" w:cs="宋体"/>
                <w:b/>
                <w:kern w:val="0"/>
                <w:sz w:val="24"/>
                <w:szCs w:val="24"/>
              </w:rPr>
              <w:t xml:space="preserve"> “双峰”人才引育计划</w:t>
            </w:r>
          </w:p>
          <w:p>
            <w:pPr>
              <w:spacing w:line="560" w:lineRule="exact"/>
              <w:ind w:firstLine="562"/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</w:pPr>
            <w:r>
              <w:rPr>
                <w:rFonts w:hint="eastAsia" w:ascii="楷体" w:hAnsi="楷体" w:eastAsia="楷体" w:cs="宋体"/>
                <w:b/>
                <w:bCs/>
                <w:kern w:val="0"/>
                <w:sz w:val="32"/>
                <w:szCs w:val="32"/>
              </w:rPr>
              <w:t>（二）实施“双百”计划，建设高技能工匠之师</w:t>
            </w:r>
          </w:p>
          <w:p>
            <w:pPr>
              <w:spacing w:line="560" w:lineRule="exact"/>
              <w:ind w:firstLine="562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bookmarkStart w:id="2" w:name="_Hlk103159520"/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32"/>
                <w:szCs w:val="32"/>
              </w:rPr>
              <w:t>一是</w:t>
            </w:r>
            <w:r>
              <w:rPr>
                <w:rFonts w:ascii="仿宋_GB2312" w:hAnsi="宋体" w:eastAsia="仿宋_GB2312" w:cs="宋体"/>
                <w:b/>
                <w:bCs/>
                <w:kern w:val="0"/>
                <w:sz w:val="32"/>
                <w:szCs w:val="32"/>
              </w:rPr>
              <w:t>实施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32"/>
                <w:szCs w:val="32"/>
              </w:rPr>
              <w:t>“百工首席”计划</w:t>
            </w:r>
            <w:bookmarkEnd w:id="2"/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32"/>
                <w:szCs w:val="32"/>
              </w:rPr>
              <w:t>，打造高技能人才之师。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学校面向校内专业教师分批、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分专业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遴选100名“百工首席”培育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对象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，通过3年的培育，考核合格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者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将正式授予该工种（专业）的“首席技师”称号，并将“首席技师”作为申报各类人才项目的必备条件，逐步构建“国家-省-市-校”四级的教师技能培训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体系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。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32"/>
                <w:szCs w:val="32"/>
              </w:rPr>
              <w:t>二</w:t>
            </w:r>
            <w:r>
              <w:rPr>
                <w:rFonts w:ascii="仿宋_GB2312" w:hAnsi="宋体" w:eastAsia="仿宋_GB2312" w:cs="宋体"/>
                <w:b/>
                <w:bCs/>
                <w:kern w:val="0"/>
                <w:sz w:val="32"/>
                <w:szCs w:val="32"/>
              </w:rPr>
              <w:t>是实施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32"/>
                <w:szCs w:val="32"/>
              </w:rPr>
              <w:t>“百师致远”计划，打造国际视野教师队伍。</w:t>
            </w:r>
            <w:r>
              <w:rPr>
                <w:rFonts w:hint="eastAsia" w:ascii="仿宋_GB2312" w:hAnsi="黑体" w:eastAsia="仿宋_GB2312" w:cs="宋体"/>
                <w:kern w:val="0"/>
                <w:sz w:val="32"/>
                <w:szCs w:val="32"/>
              </w:rPr>
              <w:t>学校克服疫情影响，开展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“长期短期结合，线上线下结合”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的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形式，完成百余人的“师资海外线上培训；</w:t>
            </w:r>
            <w:r>
              <w:rPr>
                <w:rFonts w:hint="eastAsia" w:ascii="仿宋_GB2312" w:hAnsi="黑体" w:eastAsia="仿宋_GB2312" w:cs="宋体"/>
                <w:kern w:val="0"/>
                <w:sz w:val="32"/>
                <w:szCs w:val="32"/>
              </w:rPr>
              <w:t>遴选骨干教师，赴国（境）外知名高校、研究所开展中长期海外学术进修，提升学术水平、国际视野与管理水平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。</w:t>
            </w:r>
          </w:p>
          <w:p>
            <w:pPr>
              <w:spacing w:line="560" w:lineRule="exact"/>
              <w:ind w:firstLine="562"/>
              <w:rPr>
                <w:rFonts w:ascii="仿宋_GB2312" w:hAnsi="楷体" w:eastAsia="仿宋_GB2312" w:cs="宋体"/>
                <w:b/>
                <w:bCs/>
                <w:kern w:val="0"/>
                <w:sz w:val="32"/>
                <w:szCs w:val="32"/>
              </w:rPr>
            </w:pPr>
          </w:p>
          <w:p>
            <w:pPr>
              <w:jc w:val="center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hint="eastAsia" w:ascii="仿宋_GB2312" w:hAnsi="Times New Roman" w:eastAsia="仿宋_GB2312" w:cs="Times New Roman"/>
                <w:kern w:val="0"/>
                <w:sz w:val="32"/>
                <w:szCs w:val="32"/>
              </w:rPr>
              <w:drawing>
                <wp:inline distT="0" distB="0" distL="0" distR="0">
                  <wp:extent cx="5607685" cy="2604770"/>
                  <wp:effectExtent l="0" t="0" r="0" b="5080"/>
                  <wp:docPr id="1" name="图片 1" descr="一群人在厨房里&#10;&#10;中度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一群人在厨房里&#10;&#10;中度可信度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l="869" t="3238" r="1491" b="28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8213" cy="2605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560" w:lineRule="exact"/>
              <w:jc w:val="center"/>
              <w:rPr>
                <w:rFonts w:ascii="宋体" w:hAnsi="宋体" w:eastAsia="宋体" w:cs="宋体"/>
                <w:b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kern w:val="0"/>
                <w:sz w:val="24"/>
                <w:szCs w:val="24"/>
              </w:rPr>
              <w:t>图</w:t>
            </w:r>
            <w:r>
              <w:rPr>
                <w:rFonts w:ascii="宋体" w:hAnsi="宋体" w:eastAsia="宋体" w:cs="宋体"/>
                <w:b/>
                <w:kern w:val="0"/>
                <w:sz w:val="24"/>
                <w:szCs w:val="24"/>
              </w:rPr>
              <w:t>2</w:t>
            </w:r>
            <w:r>
              <w:rPr>
                <w:rFonts w:hint="eastAsia" w:ascii="宋体" w:hAnsi="宋体" w:eastAsia="宋体" w:cs="宋体"/>
                <w:b/>
                <w:kern w:val="0"/>
                <w:sz w:val="24"/>
                <w:szCs w:val="24"/>
              </w:rPr>
              <w:t xml:space="preserve"> 高技能人才之师代表</w:t>
            </w:r>
          </w:p>
          <w:p>
            <w:pPr>
              <w:spacing w:line="560" w:lineRule="exact"/>
              <w:ind w:firstLine="562"/>
              <w:rPr>
                <w:rFonts w:ascii="仿宋_GB2312" w:hAnsi="黑体" w:eastAsia="仿宋_GB2312" w:cs="宋体"/>
                <w:b/>
                <w:bCs/>
                <w:kern w:val="0"/>
                <w:sz w:val="32"/>
                <w:szCs w:val="32"/>
              </w:rPr>
            </w:pPr>
            <w:r>
              <w:rPr>
                <w:rFonts w:hint="eastAsia" w:ascii="仿宋_GB2312" w:hAnsi="黑体" w:eastAsia="仿宋_GB2312" w:cs="宋体"/>
                <w:b/>
                <w:bCs/>
                <w:kern w:val="0"/>
                <w:sz w:val="32"/>
                <w:szCs w:val="32"/>
              </w:rPr>
              <w:t>（三）实施“双千”计划，建设高素质双师型教师</w:t>
            </w:r>
          </w:p>
          <w:p>
            <w:pPr>
              <w:spacing w:line="560" w:lineRule="exact"/>
              <w:ind w:firstLine="562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hint="eastAsia" w:ascii="仿宋_GB2312" w:hAnsi="楷体" w:eastAsia="仿宋_GB2312" w:cs="宋体"/>
                <w:b/>
                <w:bCs/>
                <w:kern w:val="0"/>
                <w:sz w:val="32"/>
                <w:szCs w:val="32"/>
              </w:rPr>
              <w:t>一</w:t>
            </w:r>
            <w:r>
              <w:rPr>
                <w:rFonts w:ascii="仿宋_GB2312" w:hAnsi="楷体" w:eastAsia="仿宋_GB2312" w:cs="宋体"/>
                <w:b/>
                <w:bCs/>
                <w:kern w:val="0"/>
                <w:sz w:val="32"/>
                <w:szCs w:val="32"/>
              </w:rPr>
              <w:t>是实施</w:t>
            </w:r>
            <w:r>
              <w:rPr>
                <w:rFonts w:hint="eastAsia" w:ascii="仿宋_GB2312" w:hAnsi="楷体" w:eastAsia="仿宋_GB2312" w:cs="宋体"/>
                <w:b/>
                <w:bCs/>
                <w:kern w:val="0"/>
                <w:sz w:val="32"/>
                <w:szCs w:val="32"/>
              </w:rPr>
              <w:t>“千师入企”计划，强化“双师”教师培养。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学校实施“项目-基地-实践”三维串接的“千师入企”计划；制定《访问学者、访问工程师选派与管理办法》，明确培养待遇、管理考核，做深做实“访问工程师项目”；与龙头企业合作共建国家级、省级、校级“双师型”教师培养培训基地，依托基地着力锻炼教师技术技能水平，推进专任教师分层分类教师社会实践。</w:t>
            </w:r>
            <w:r>
              <w:rPr>
                <w:rFonts w:hint="eastAsia" w:ascii="仿宋_GB2312" w:hAnsi="楷体" w:eastAsia="仿宋_GB2312" w:cs="宋体"/>
                <w:b/>
                <w:bCs/>
                <w:kern w:val="0"/>
                <w:sz w:val="32"/>
                <w:szCs w:val="32"/>
              </w:rPr>
              <w:t>二是</w:t>
            </w:r>
            <w:r>
              <w:rPr>
                <w:rFonts w:ascii="仿宋_GB2312" w:hAnsi="楷体" w:eastAsia="仿宋_GB2312" w:cs="宋体"/>
                <w:b/>
                <w:bCs/>
                <w:kern w:val="0"/>
                <w:sz w:val="32"/>
                <w:szCs w:val="32"/>
              </w:rPr>
              <w:t>实施</w:t>
            </w:r>
            <w:r>
              <w:rPr>
                <w:rFonts w:hint="eastAsia" w:ascii="仿宋_GB2312" w:hAnsi="楷体" w:eastAsia="仿宋_GB2312" w:cs="宋体"/>
                <w:b/>
                <w:bCs/>
                <w:kern w:val="0"/>
                <w:sz w:val="32"/>
                <w:szCs w:val="32"/>
              </w:rPr>
              <w:t>“千匠助教”计划，构建专兼互动融合模式。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学校以技术技能创新服务平台、校企命运共同体等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载体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为纽带，构建校企人员“双向交流协作共同体”，通过建立互兼、互派、互用的专兼教师协作机制，将企业技术骨干、管理骨干聘为兼职教学教师、兼职科研教师、兼职服务教师，协同开展人才培养、科技服务和专业建设。</w:t>
            </w:r>
          </w:p>
          <w:p>
            <w:pPr>
              <w:spacing w:line="560" w:lineRule="exact"/>
              <w:ind w:firstLine="562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ind w:firstLine="562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ind w:firstLine="562"/>
              <w:rPr>
                <w:rFonts w:ascii="仿宋_GB2312" w:hAnsi="楷体" w:eastAsia="仿宋_GB2312" w:cs="宋体"/>
                <w:b/>
                <w:bCs/>
                <w:kern w:val="0"/>
                <w:sz w:val="32"/>
                <w:szCs w:val="32"/>
              </w:rPr>
            </w:pPr>
          </w:p>
          <w:p>
            <w:pPr>
              <w:jc w:val="center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hint="eastAsia" w:ascii="仿宋_GB2312" w:hAnsi="Times New Roman" w:eastAsia="仿宋_GB2312" w:cs="Times New Roman"/>
                <w:kern w:val="0"/>
                <w:sz w:val="32"/>
                <w:szCs w:val="32"/>
              </w:rPr>
              <w:drawing>
                <wp:inline distT="0" distB="0" distL="0" distR="0">
                  <wp:extent cx="5631815" cy="2625725"/>
                  <wp:effectExtent l="0" t="0" r="6985" b="3175"/>
                  <wp:docPr id="11" name="图片 11" descr="图片包含 日程表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图片包含 日程表&#10;&#10;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77705" cy="2647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560" w:lineRule="exact"/>
              <w:jc w:val="center"/>
              <w:rPr>
                <w:rFonts w:ascii="宋体" w:hAnsi="宋体" w:eastAsia="宋体" w:cs="宋体"/>
                <w:b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kern w:val="0"/>
                <w:sz w:val="24"/>
                <w:szCs w:val="24"/>
              </w:rPr>
              <w:t>图</w:t>
            </w:r>
            <w:r>
              <w:rPr>
                <w:rFonts w:ascii="宋体" w:hAnsi="宋体" w:eastAsia="宋体" w:cs="宋体"/>
                <w:b/>
                <w:kern w:val="0"/>
                <w:sz w:val="24"/>
                <w:szCs w:val="24"/>
              </w:rPr>
              <w:t>3</w:t>
            </w:r>
            <w:r>
              <w:rPr>
                <w:rFonts w:hint="eastAsia" w:ascii="宋体" w:hAnsi="宋体" w:eastAsia="宋体" w:cs="宋体"/>
                <w:b/>
                <w:kern w:val="0"/>
                <w:sz w:val="24"/>
                <w:szCs w:val="24"/>
              </w:rPr>
              <w:t xml:space="preserve"> 专兼教师协作机制</w:t>
            </w:r>
          </w:p>
          <w:p>
            <w:pPr>
              <w:spacing w:line="560" w:lineRule="exact"/>
              <w:ind w:firstLine="560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近3年学校引进博士、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全国技术能手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等高层次人才37人，培养领军式专业带头人30人、国家级水平专业群带头人4人、市级以上技能大师19人；入选国家“万人计划”教学名师2人、全国技术能手2人、享受国务院特殊津贴专家1人、省“万人计划”等省级人才15人；“双师型”教师比例达9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1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%，学校师资队伍结构日益优化。</w:t>
            </w:r>
          </w:p>
          <w:p>
            <w:pPr>
              <w:spacing w:line="560" w:lineRule="exact"/>
              <w:ind w:left="562"/>
              <w:rPr>
                <w:rFonts w:ascii="黑体" w:hAnsi="黑体" w:eastAsia="黑体" w:cs="宋体"/>
                <w:b/>
                <w:bCs/>
                <w:kern w:val="0"/>
                <w:sz w:val="32"/>
                <w:szCs w:val="32"/>
              </w:rPr>
            </w:pPr>
            <w:r>
              <w:rPr>
                <w:rFonts w:hint="eastAsia" w:ascii="黑体" w:hAnsi="黑体" w:eastAsia="黑体" w:cs="宋体"/>
                <w:b/>
                <w:bCs/>
                <w:kern w:val="0"/>
                <w:sz w:val="32"/>
                <w:szCs w:val="32"/>
              </w:rPr>
              <w:t>三、实施考核评价“4+X”体系，机制创</w:t>
            </w:r>
            <w:r>
              <w:rPr>
                <w:rFonts w:ascii="黑体" w:hAnsi="黑体" w:eastAsia="黑体" w:cs="宋体"/>
                <w:b/>
                <w:bCs/>
                <w:kern w:val="0"/>
                <w:sz w:val="32"/>
                <w:szCs w:val="32"/>
              </w:rPr>
              <w:t>新强保障</w:t>
            </w:r>
          </w:p>
          <w:p>
            <w:pPr>
              <w:spacing w:line="560" w:lineRule="exact"/>
              <w:ind w:firstLine="562"/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</w:pPr>
            <w:r>
              <w:rPr>
                <w:rFonts w:hint="eastAsia" w:ascii="楷体" w:hAnsi="楷体" w:eastAsia="楷体" w:cs="宋体"/>
                <w:b/>
                <w:bCs/>
                <w:kern w:val="0"/>
                <w:sz w:val="32"/>
                <w:szCs w:val="32"/>
              </w:rPr>
              <w:t>（一）构建“</w:t>
            </w:r>
            <w:r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  <w:t>4+X”教师考核评价体系</w:t>
            </w:r>
          </w:p>
          <w:p>
            <w:pPr>
              <w:spacing w:line="560" w:lineRule="exact"/>
              <w:ind w:firstLine="562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学校积极探索破“五唯”的教师考核评价体系，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通过破立并举，突出特色、质量和贡献，实现教师多维度评价，系统推进教师评价改革实践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，构建了由教师教学业绩考核、聘期考核、职称评聘、“双师双能”认定四种定期评价，以及高层次人才考核、专项技能竞赛等单项能力不定期考核构成的“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4+X”教师考核评价体系。</w:t>
            </w:r>
          </w:p>
          <w:p>
            <w:pPr>
              <w:spacing w:line="560" w:lineRule="exact"/>
              <w:ind w:firstLine="562"/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</w:pPr>
            <w:r>
              <w:rPr>
                <w:rFonts w:hint="eastAsia" w:ascii="楷体" w:hAnsi="楷体" w:eastAsia="楷体" w:cs="宋体"/>
                <w:b/>
                <w:bCs/>
                <w:kern w:val="0"/>
                <w:sz w:val="32"/>
                <w:szCs w:val="32"/>
              </w:rPr>
              <w:t>（二）优化“四重”考核评价实施路径</w:t>
            </w:r>
          </w:p>
          <w:p>
            <w:pPr>
              <w:spacing w:line="560" w:lineRule="exact"/>
              <w:ind w:firstLine="562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“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4+X”考评项目关联紧密、互为支撑，构成教师评价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的有机整体，即教学业绩考核和双师评价是专业技术职务评聘的基本条件，聘期考核是专业技术职务评聘的衔接配套，“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X”单项考核是专业技术职务评聘的标志性成果和聘期考核的业绩条件。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在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实施过程中，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学校注重师德师风第一标准、考核标准科学设置、考核业绩分类分层、考核结果即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时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应用。</w:t>
            </w:r>
          </w:p>
          <w:p>
            <w:pPr>
              <w:spacing w:line="560" w:lineRule="exact"/>
              <w:ind w:firstLine="562"/>
              <w:rPr>
                <w:rFonts w:ascii="楷体" w:hAnsi="楷体" w:eastAsia="楷体" w:cs="宋体"/>
                <w:b/>
                <w:bCs/>
                <w:kern w:val="0"/>
                <w:sz w:val="32"/>
                <w:szCs w:val="32"/>
              </w:rPr>
            </w:pPr>
            <w:r>
              <w:rPr>
                <w:rFonts w:hint="eastAsia" w:ascii="楷体" w:hAnsi="楷体" w:eastAsia="楷体" w:cs="宋体"/>
                <w:b/>
                <w:bCs/>
                <w:kern w:val="0"/>
                <w:sz w:val="32"/>
                <w:szCs w:val="32"/>
              </w:rPr>
              <w:t>（三）健全“四维”考核评价保障举措</w:t>
            </w:r>
          </w:p>
          <w:p>
            <w:pPr>
              <w:spacing w:line="560" w:lineRule="exact"/>
              <w:ind w:firstLine="562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学校和学院层面分别成立教师考核评价领导小组和工作小组，</w:t>
            </w:r>
            <w:r>
              <w:rPr>
                <w:rFonts w:hint="eastAsia" w:ascii="Times New Roman" w:hAnsi="Times New Roman" w:eastAsia="仿宋_GB2312" w:cs="Times New Roman"/>
                <w:b/>
                <w:bCs/>
                <w:kern w:val="0"/>
                <w:sz w:val="32"/>
                <w:szCs w:val="32"/>
              </w:rPr>
              <w:t>构建分级的组织管理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；完善构建师德师风建设、</w:t>
            </w:r>
            <w:r>
              <w:rPr>
                <w:rFonts w:hint="eastAsia" w:ascii="Times New Roman" w:hAnsi="Times New Roman" w:eastAsia="仿宋_GB2312" w:cs="Times New Roman"/>
                <w:kern w:val="0"/>
                <w:sz w:val="32"/>
                <w:szCs w:val="32"/>
              </w:rPr>
              <w:t>专业技术职务评聘、</w:t>
            </w:r>
            <w:r>
              <w:rPr>
                <w:rFonts w:ascii="Times New Roman" w:hAnsi="Times New Roman" w:eastAsia="仿宋_GB2312" w:cs="Times New Roman"/>
                <w:kern w:val="0"/>
                <w:sz w:val="32"/>
                <w:szCs w:val="32"/>
              </w:rPr>
              <w:t>聘期考核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等制度“废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改立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”，</w:t>
            </w:r>
            <w:r>
              <w:rPr>
                <w:rFonts w:hint="eastAsia" w:ascii="仿宋_GB2312" w:hAnsi="宋体" w:eastAsia="仿宋_GB2312" w:cs="宋体"/>
                <w:b/>
                <w:kern w:val="0"/>
                <w:sz w:val="32"/>
                <w:szCs w:val="32"/>
              </w:rPr>
              <w:t>构建分项的制度体系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；依托浙江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省示范性</w:t>
            </w:r>
            <w:r>
              <w:rPr>
                <w:rFonts w:hint="eastAsia" w:ascii="Times New Roman" w:hAnsi="Times New Roman" w:eastAsia="仿宋_GB2312" w:cs="Times New Roman"/>
                <w:kern w:val="0"/>
                <w:sz w:val="32"/>
                <w:szCs w:val="32"/>
              </w:rPr>
              <w:t>教师发展中心</w:t>
            </w:r>
            <w:r>
              <w:rPr>
                <w:rFonts w:hint="eastAsia" w:ascii="Times New Roman" w:hAnsi="Times New Roman" w:eastAsia="仿宋_GB2312" w:cs="Times New Roman"/>
                <w:color w:val="44546A" w:themeColor="text2"/>
                <w:kern w:val="0"/>
                <w:sz w:val="32"/>
                <w:szCs w:val="32"/>
                <w14:textFill>
                  <w14:solidFill>
                    <w14:schemeClr w14:val="tx2"/>
                  </w14:solidFill>
                </w14:textFill>
              </w:rPr>
              <w:t>（201</w:t>
            </w:r>
            <w:r>
              <w:rPr>
                <w:rFonts w:ascii="Times New Roman" w:hAnsi="Times New Roman" w:eastAsia="仿宋_GB2312" w:cs="Times New Roman"/>
                <w:color w:val="44546A" w:themeColor="text2"/>
                <w:kern w:val="0"/>
                <w:sz w:val="32"/>
                <w:szCs w:val="32"/>
                <w14:textFill>
                  <w14:solidFill>
                    <w14:schemeClr w14:val="tx2"/>
                  </w14:solidFill>
                </w14:textFill>
              </w:rPr>
              <w:t>9</w:t>
            </w:r>
            <w:r>
              <w:rPr>
                <w:rFonts w:hint="eastAsia" w:ascii="Times New Roman" w:hAnsi="Times New Roman" w:eastAsia="仿宋_GB2312" w:cs="Times New Roman"/>
                <w:color w:val="44546A" w:themeColor="text2"/>
                <w:kern w:val="0"/>
                <w:sz w:val="32"/>
                <w:szCs w:val="32"/>
                <w14:textFill>
                  <w14:solidFill>
                    <w14:schemeClr w14:val="tx2"/>
                  </w14:solidFill>
                </w14:textFill>
              </w:rPr>
              <w:t>年</w:t>
            </w:r>
            <w:r>
              <w:rPr>
                <w:rFonts w:ascii="Times New Roman" w:hAnsi="Times New Roman" w:eastAsia="仿宋_GB2312" w:cs="Times New Roman"/>
                <w:color w:val="44546A" w:themeColor="text2"/>
                <w:kern w:val="0"/>
                <w:sz w:val="32"/>
                <w:szCs w:val="32"/>
                <w14:textFill>
                  <w14:solidFill>
                    <w14:schemeClr w14:val="tx2"/>
                  </w14:solidFill>
                </w14:textFill>
              </w:rPr>
              <w:t>获批</w:t>
            </w:r>
            <w:r>
              <w:rPr>
                <w:rFonts w:hint="eastAsia" w:ascii="Times New Roman" w:hAnsi="Times New Roman" w:eastAsia="仿宋_GB2312" w:cs="Times New Roman"/>
                <w:color w:val="44546A" w:themeColor="text2"/>
                <w:kern w:val="0"/>
                <w:sz w:val="32"/>
                <w:szCs w:val="32"/>
                <w14:textFill>
                  <w14:solidFill>
                    <w14:schemeClr w14:val="tx2"/>
                  </w14:solidFill>
                </w14:textFill>
              </w:rPr>
              <w:t>）</w:t>
            </w:r>
            <w:r>
              <w:rPr>
                <w:rFonts w:hint="eastAsia" w:ascii="Times New Roman" w:hAnsi="Times New Roman" w:eastAsia="仿宋_GB2312" w:cs="Times New Roman"/>
                <w:kern w:val="0"/>
                <w:sz w:val="32"/>
                <w:szCs w:val="32"/>
              </w:rPr>
              <w:t>、教师职业能力认证平台，</w:t>
            </w:r>
            <w:r>
              <w:rPr>
                <w:rFonts w:hint="eastAsia" w:ascii="Times New Roman" w:hAnsi="Times New Roman" w:eastAsia="仿宋_GB2312" w:cs="Times New Roman"/>
                <w:b/>
                <w:bCs/>
                <w:kern w:val="0"/>
                <w:sz w:val="32"/>
                <w:szCs w:val="32"/>
              </w:rPr>
              <w:t>创设分类的平台项目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；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考核评价结果与教师绩效分配、职称评聘、岗位晋级、评优评奖等直接挂钩，</w:t>
            </w:r>
            <w:r>
              <w:rPr>
                <w:rFonts w:hint="eastAsia" w:ascii="Times New Roman" w:hAnsi="Times New Roman" w:eastAsia="仿宋_GB2312" w:cs="Times New Roman"/>
                <w:b/>
                <w:bCs/>
                <w:kern w:val="0"/>
                <w:sz w:val="32"/>
                <w:szCs w:val="32"/>
              </w:rPr>
              <w:t>完善分明的奖惩机制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。</w:t>
            </w:r>
          </w:p>
          <w:p>
            <w:pPr>
              <w:jc w:val="center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drawing>
                <wp:inline distT="0" distB="0" distL="0" distR="0">
                  <wp:extent cx="5528945" cy="2438400"/>
                  <wp:effectExtent l="0" t="0" r="0" b="0"/>
                  <wp:docPr id="2" name="图片 3" descr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3" descr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2151" cy="2457370"/>
                          </a:xfrm>
                          <a:prstGeom prst="rect">
                            <a:avLst/>
                          </a:prstGeom>
                          <a:ln w="12700">
                            <a:miter lim="4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560" w:lineRule="exact"/>
              <w:jc w:val="center"/>
              <w:rPr>
                <w:rFonts w:ascii="宋体" w:hAnsi="宋体" w:eastAsia="宋体" w:cs="宋体"/>
                <w:b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kern w:val="0"/>
                <w:sz w:val="24"/>
                <w:szCs w:val="24"/>
              </w:rPr>
              <w:t>图4</w:t>
            </w:r>
            <w:r>
              <w:rPr>
                <w:rFonts w:ascii="宋体" w:hAnsi="宋体" w:eastAsia="宋体" w:cs="宋体"/>
                <w:b/>
                <w:kern w:val="0"/>
                <w:sz w:val="24"/>
                <w:szCs w:val="24"/>
              </w:rPr>
              <w:t xml:space="preserve"> </w:t>
            </w:r>
            <w:r>
              <w:rPr>
                <w:rFonts w:hint="eastAsia" w:ascii="宋体" w:hAnsi="宋体" w:eastAsia="宋体" w:cs="宋体"/>
                <w:b/>
                <w:kern w:val="0"/>
                <w:sz w:val="24"/>
                <w:szCs w:val="24"/>
              </w:rPr>
              <w:t>“</w:t>
            </w:r>
            <w:r>
              <w:rPr>
                <w:rFonts w:ascii="宋体" w:hAnsi="宋体" w:eastAsia="宋体" w:cs="宋体"/>
                <w:b/>
                <w:kern w:val="0"/>
                <w:sz w:val="24"/>
                <w:szCs w:val="24"/>
              </w:rPr>
              <w:t>4+X”考核评价</w:t>
            </w:r>
            <w:r>
              <w:rPr>
                <w:rFonts w:hint="eastAsia" w:ascii="宋体" w:hAnsi="宋体" w:eastAsia="宋体" w:cs="宋体"/>
                <w:b/>
                <w:kern w:val="0"/>
                <w:sz w:val="24"/>
                <w:szCs w:val="24"/>
              </w:rPr>
              <w:t>项目</w:t>
            </w:r>
            <w:r>
              <w:rPr>
                <w:rFonts w:ascii="宋体" w:hAnsi="宋体" w:eastAsia="宋体" w:cs="宋体"/>
                <w:b/>
                <w:kern w:val="0"/>
                <w:sz w:val="24"/>
                <w:szCs w:val="24"/>
              </w:rPr>
              <w:t>体系</w:t>
            </w:r>
          </w:p>
          <w:p>
            <w:pPr>
              <w:spacing w:line="560" w:lineRule="exact"/>
              <w:ind w:firstLine="562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学校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先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后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入选教育部“高校教师考核评价改革示范校”、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浙江省深化新时代教育评价改革试点高校，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获批国家级“双师型”教师培养培训基地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32"/>
                <w:szCs w:val="32"/>
              </w:rPr>
              <w:t>2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个，国家级技能大师工作室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32"/>
                <w:szCs w:val="32"/>
              </w:rPr>
              <w:t>1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个。</w:t>
            </w:r>
          </w:p>
          <w:p>
            <w:pPr>
              <w:jc w:val="center"/>
              <w:rPr>
                <w:rFonts w:ascii="仿宋_GB2312" w:hAnsi="Times New Roman" w:eastAsia="仿宋_GB2312" w:cs="Times New Roman"/>
                <w:b/>
                <w:color w:val="FF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kern w:val="0"/>
                <w:sz w:val="20"/>
                <w:szCs w:val="20"/>
              </w:rPr>
              <w:drawing>
                <wp:inline distT="0" distB="0" distL="0" distR="0">
                  <wp:extent cx="3674745" cy="4923155"/>
                  <wp:effectExtent l="19050" t="19050" r="20955" b="10795"/>
                  <wp:docPr id="3" name="图片 3" descr="表格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表格&#10;&#10;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0241" cy="4930948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560" w:lineRule="exact"/>
              <w:jc w:val="center"/>
              <w:rPr>
                <w:rFonts w:ascii="宋体" w:hAnsi="宋体" w:eastAsia="宋体" w:cs="宋体"/>
                <w:b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kern w:val="0"/>
                <w:sz w:val="24"/>
                <w:szCs w:val="24"/>
              </w:rPr>
              <w:t>图5 学校入选教育部“高校教师考核评价改革示范校”</w:t>
            </w:r>
          </w:p>
          <w:p>
            <w:pPr>
              <w:jc w:val="center"/>
              <w:rPr>
                <w:rFonts w:ascii="仿宋_GB2312" w:hAnsi="Times New Roman" w:eastAsia="仿宋_GB2312" w:cs="Times New Roman"/>
                <w:b/>
                <w:color w:val="FF0000"/>
                <w:kern w:val="0"/>
                <w:sz w:val="24"/>
                <w:szCs w:val="24"/>
              </w:rPr>
            </w:pPr>
            <w:r>
              <w:rPr>
                <w:rFonts w:ascii="仿宋_GB2312" w:hAnsi="Times New Roman" w:eastAsia="仿宋_GB2312" w:cs="Times New Roman"/>
                <w:b/>
                <w:color w:val="FF0000"/>
                <w:kern w:val="0"/>
                <w:sz w:val="24"/>
                <w:szCs w:val="24"/>
              </w:rPr>
              <w:drawing>
                <wp:inline distT="0" distB="0" distL="0" distR="0">
                  <wp:extent cx="3517265" cy="2653030"/>
                  <wp:effectExtent l="0" t="0" r="6985" b="0"/>
                  <wp:docPr id="6" name="图片 6" descr="表格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表格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1713" cy="2664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560" w:lineRule="exact"/>
              <w:jc w:val="center"/>
              <w:rPr>
                <w:rFonts w:ascii="宋体" w:hAnsi="宋体" w:eastAsia="宋体" w:cs="宋体"/>
                <w:b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kern w:val="0"/>
                <w:sz w:val="24"/>
                <w:szCs w:val="24"/>
              </w:rPr>
              <w:t>图6</w:t>
            </w:r>
            <w:r>
              <w:rPr>
                <w:rFonts w:ascii="宋体" w:hAnsi="宋体" w:eastAsia="宋体" w:cs="宋体"/>
                <w:b/>
                <w:kern w:val="0"/>
                <w:sz w:val="24"/>
                <w:szCs w:val="24"/>
              </w:rPr>
              <w:t xml:space="preserve"> </w:t>
            </w:r>
            <w:r>
              <w:rPr>
                <w:rFonts w:hint="eastAsia" w:ascii="宋体" w:hAnsi="宋体" w:eastAsia="宋体" w:cs="宋体"/>
                <w:b/>
                <w:kern w:val="0"/>
                <w:sz w:val="24"/>
                <w:szCs w:val="24"/>
              </w:rPr>
              <w:t>全国高职院校教师教学发展指数（2021版）</w:t>
            </w:r>
          </w:p>
          <w:p>
            <w:pPr>
              <w:spacing w:line="560" w:lineRule="exact"/>
              <w:ind w:firstLine="562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经过近些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年不断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探索和实践，学校师资引育工作体系逐步完善，“双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师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”队伍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结构不断优化。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现有享受国务院政府特殊津贴等国家级人才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5人、全国模范教师1人、省有突出贡献中青年专家2人、省“万人计划”教学名师4人、省“151人才工程”培养人选9人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；国家级职业教育教师教学创新团队2个，全国高校黄大年式教师团队1个，省职业教育教师教学创新团队2个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；近三年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获全国职业院校教师教学能力比赛一等奖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9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项，连续四年全国职业院校技能大赛获奖总数排名全国第一，2020-2021年</w:t>
            </w:r>
            <w:r>
              <w:rPr>
                <w:rFonts w:ascii="仿宋_GB2312" w:hAnsi="宋体" w:eastAsia="仿宋_GB2312" w:cs="宋体"/>
                <w:kern w:val="0"/>
                <w:sz w:val="32"/>
                <w:szCs w:val="32"/>
              </w:rPr>
              <w:t>学校</w:t>
            </w:r>
            <w:r>
              <w:rPr>
                <w:rFonts w:hint="eastAsia" w:ascii="仿宋_GB2312" w:hAnsi="宋体" w:eastAsia="仿宋_GB2312" w:cs="宋体"/>
                <w:kern w:val="0"/>
                <w:sz w:val="32"/>
                <w:szCs w:val="32"/>
              </w:rPr>
              <w:t>教师教学发展指数连续两年位列全国第三、省内第一。</w:t>
            </w: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  <w:p>
            <w:pPr>
              <w:spacing w:line="560" w:lineRule="exact"/>
              <w:rPr>
                <w:rFonts w:ascii="仿宋_GB2312" w:hAnsi="宋体" w:eastAsia="仿宋_GB2312" w:cs="宋体"/>
                <w:kern w:val="0"/>
                <w:sz w:val="32"/>
                <w:szCs w:val="32"/>
              </w:rPr>
            </w:pPr>
          </w:p>
        </w:tc>
      </w:tr>
    </w:tbl>
    <w:p>
      <w:pPr>
        <w:jc w:val="left"/>
        <w:rPr>
          <w:rFonts w:ascii="仿宋_GB2312" w:hAnsi="方正小标宋简体" w:eastAsia="仿宋_GB2312"/>
          <w:sz w:val="2"/>
          <w:szCs w:val="2"/>
        </w:rPr>
      </w:pPr>
    </w:p>
    <w:sectPr>
      <w:pgSz w:w="11906" w:h="16838"/>
      <w:pgMar w:top="1418" w:right="1418" w:bottom="1418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Y3MWI5Njc0YzQzMTU1ODUwYWQ3M2ViMDExOGU2Y2EifQ=="/>
  </w:docVars>
  <w:rsids>
    <w:rsidRoot w:val="00094C98"/>
    <w:rsid w:val="00011E19"/>
    <w:rsid w:val="000126F4"/>
    <w:rsid w:val="000175FB"/>
    <w:rsid w:val="00022713"/>
    <w:rsid w:val="0002297E"/>
    <w:rsid w:val="00061604"/>
    <w:rsid w:val="0006403E"/>
    <w:rsid w:val="000640DA"/>
    <w:rsid w:val="00082E5D"/>
    <w:rsid w:val="00084B00"/>
    <w:rsid w:val="00094C98"/>
    <w:rsid w:val="000A7D17"/>
    <w:rsid w:val="000B2011"/>
    <w:rsid w:val="000D488C"/>
    <w:rsid w:val="000E59C0"/>
    <w:rsid w:val="000E6A6B"/>
    <w:rsid w:val="000E7CC3"/>
    <w:rsid w:val="000F0D85"/>
    <w:rsid w:val="000F16FD"/>
    <w:rsid w:val="00101B18"/>
    <w:rsid w:val="00110DFF"/>
    <w:rsid w:val="0011719A"/>
    <w:rsid w:val="00165781"/>
    <w:rsid w:val="00172851"/>
    <w:rsid w:val="00185BBD"/>
    <w:rsid w:val="0019583C"/>
    <w:rsid w:val="001B0869"/>
    <w:rsid w:val="00220153"/>
    <w:rsid w:val="00232484"/>
    <w:rsid w:val="002450E9"/>
    <w:rsid w:val="00247BA6"/>
    <w:rsid w:val="00250412"/>
    <w:rsid w:val="00286E45"/>
    <w:rsid w:val="002D50D0"/>
    <w:rsid w:val="002E6B99"/>
    <w:rsid w:val="003242D9"/>
    <w:rsid w:val="0034407B"/>
    <w:rsid w:val="003630E7"/>
    <w:rsid w:val="00382831"/>
    <w:rsid w:val="003B5406"/>
    <w:rsid w:val="003F0B09"/>
    <w:rsid w:val="004021B1"/>
    <w:rsid w:val="004160D6"/>
    <w:rsid w:val="0041682F"/>
    <w:rsid w:val="004A3863"/>
    <w:rsid w:val="004A7F8A"/>
    <w:rsid w:val="004B47D9"/>
    <w:rsid w:val="00505DDD"/>
    <w:rsid w:val="00525278"/>
    <w:rsid w:val="005470A5"/>
    <w:rsid w:val="00553114"/>
    <w:rsid w:val="00555A1B"/>
    <w:rsid w:val="00571EED"/>
    <w:rsid w:val="0059535C"/>
    <w:rsid w:val="005A1086"/>
    <w:rsid w:val="005B1FA1"/>
    <w:rsid w:val="00633F8C"/>
    <w:rsid w:val="0065114A"/>
    <w:rsid w:val="006511C8"/>
    <w:rsid w:val="00661C29"/>
    <w:rsid w:val="00663FD1"/>
    <w:rsid w:val="0067723E"/>
    <w:rsid w:val="0068489F"/>
    <w:rsid w:val="006B1BBD"/>
    <w:rsid w:val="006E09B1"/>
    <w:rsid w:val="006E28EC"/>
    <w:rsid w:val="00703B3C"/>
    <w:rsid w:val="00727CA8"/>
    <w:rsid w:val="00737ABF"/>
    <w:rsid w:val="00740652"/>
    <w:rsid w:val="00754C75"/>
    <w:rsid w:val="00764D79"/>
    <w:rsid w:val="0077456E"/>
    <w:rsid w:val="00780CD7"/>
    <w:rsid w:val="00796166"/>
    <w:rsid w:val="00796BD1"/>
    <w:rsid w:val="007B40CD"/>
    <w:rsid w:val="007C3534"/>
    <w:rsid w:val="007C6587"/>
    <w:rsid w:val="007E4998"/>
    <w:rsid w:val="007F030C"/>
    <w:rsid w:val="00813482"/>
    <w:rsid w:val="00893E98"/>
    <w:rsid w:val="008A55FD"/>
    <w:rsid w:val="008D2E3D"/>
    <w:rsid w:val="008E25BC"/>
    <w:rsid w:val="00927FE4"/>
    <w:rsid w:val="00931D83"/>
    <w:rsid w:val="009632AE"/>
    <w:rsid w:val="00980D4E"/>
    <w:rsid w:val="009B23FD"/>
    <w:rsid w:val="009E0300"/>
    <w:rsid w:val="009E4852"/>
    <w:rsid w:val="00A04795"/>
    <w:rsid w:val="00A70C61"/>
    <w:rsid w:val="00A77523"/>
    <w:rsid w:val="00A83427"/>
    <w:rsid w:val="00AA4812"/>
    <w:rsid w:val="00AF2314"/>
    <w:rsid w:val="00B05272"/>
    <w:rsid w:val="00B23A14"/>
    <w:rsid w:val="00B92E45"/>
    <w:rsid w:val="00B9630A"/>
    <w:rsid w:val="00B969E3"/>
    <w:rsid w:val="00BA08C9"/>
    <w:rsid w:val="00BD1486"/>
    <w:rsid w:val="00BF228C"/>
    <w:rsid w:val="00C0556B"/>
    <w:rsid w:val="00C3133D"/>
    <w:rsid w:val="00C50CA9"/>
    <w:rsid w:val="00CA2158"/>
    <w:rsid w:val="00CA6129"/>
    <w:rsid w:val="00CC3123"/>
    <w:rsid w:val="00D10639"/>
    <w:rsid w:val="00D12447"/>
    <w:rsid w:val="00D6638F"/>
    <w:rsid w:val="00D82FCB"/>
    <w:rsid w:val="00DA34D4"/>
    <w:rsid w:val="00DA7D9E"/>
    <w:rsid w:val="00DC6495"/>
    <w:rsid w:val="00DD15FD"/>
    <w:rsid w:val="00DE41CF"/>
    <w:rsid w:val="00DF5B15"/>
    <w:rsid w:val="00E01554"/>
    <w:rsid w:val="00E40B30"/>
    <w:rsid w:val="00E91667"/>
    <w:rsid w:val="00EB2927"/>
    <w:rsid w:val="00EB5A71"/>
    <w:rsid w:val="00EE2DFC"/>
    <w:rsid w:val="00F03D55"/>
    <w:rsid w:val="00F2168E"/>
    <w:rsid w:val="00F23745"/>
    <w:rsid w:val="00F451AA"/>
    <w:rsid w:val="00F62CE2"/>
    <w:rsid w:val="00FC6E32"/>
    <w:rsid w:val="00FE31E8"/>
    <w:rsid w:val="095347F5"/>
    <w:rsid w:val="38C96E22"/>
    <w:rsid w:val="445856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3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table" w:styleId="7">
    <w:name w:val="Table Grid"/>
    <w:basedOn w:val="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9">
    <w:name w:val="List Paragraph"/>
    <w:basedOn w:val="1"/>
    <w:qFormat/>
    <w:uiPriority w:val="34"/>
    <w:pPr>
      <w:ind w:firstLine="420" w:firstLineChars="200"/>
    </w:pPr>
    <w:rPr>
      <w:szCs w:val="24"/>
    </w:rPr>
  </w:style>
  <w:style w:type="paragraph" w:customStyle="1" w:styleId="10">
    <w:name w:val="Revision"/>
    <w:hidden/>
    <w:semiHidden/>
    <w:qFormat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11">
    <w:name w:val="页眉 字符"/>
    <w:basedOn w:val="8"/>
    <w:link w:val="4"/>
    <w:qFormat/>
    <w:uiPriority w:val="99"/>
    <w:rPr>
      <w:sz w:val="18"/>
      <w:szCs w:val="18"/>
    </w:rPr>
  </w:style>
  <w:style w:type="character" w:customStyle="1" w:styleId="12">
    <w:name w:val="页脚 字符"/>
    <w:basedOn w:val="8"/>
    <w:link w:val="3"/>
    <w:qFormat/>
    <w:uiPriority w:val="99"/>
    <w:rPr>
      <w:sz w:val="18"/>
      <w:szCs w:val="18"/>
    </w:rPr>
  </w:style>
  <w:style w:type="character" w:customStyle="1" w:styleId="13">
    <w:name w:val="批注框文本 字符"/>
    <w:basedOn w:val="8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2819</Words>
  <Characters>2857</Characters>
  <Lines>21</Lines>
  <Paragraphs>6</Paragraphs>
  <TotalTime>1</TotalTime>
  <ScaleCrop>false</ScaleCrop>
  <LinksUpToDate>false</LinksUpToDate>
  <CharactersWithSpaces>2865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2022-11-13T07:12:00Z</dcterms:created>
  <dc:creator>F</dc:creator>
  <cp:lastModifiedBy>吴国庆</cp:lastModifiedBy>
  <dcterms:modified xsi:type="dcterms:W3CDTF">2023-06-06T14:25:01Z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5DCBB1479FCC4F298E9FFBDDDADBC346_12</vt:lpwstr>
  </property>
</Properties>
</file>