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jc w:val="center"/>
        <w:rPr>
          <w:rFonts w:hint="default" w:ascii="Times New Roman" w:hAnsi="Times New Roman" w:eastAsia="方正小标宋_GBK" w:cs="Times New Roman"/>
          <w:bCs/>
          <w:color w:val="000000" w:themeColor="text1"/>
          <w:sz w:val="44"/>
          <w:szCs w:val="44"/>
          <w:shd w:val="clear" w:color="auto" w:fill="FFFFFF"/>
        </w:rPr>
      </w:pPr>
      <w:r>
        <w:rPr>
          <w:rFonts w:hint="default" w:ascii="Times New Roman" w:hAnsi="Times New Roman" w:eastAsia="方正小标宋_GBK" w:cs="Times New Roman"/>
          <w:bCs/>
          <w:color w:val="000000" w:themeColor="text1"/>
          <w:sz w:val="44"/>
          <w:szCs w:val="44"/>
          <w:shd w:val="clear" w:color="auto" w:fill="FFFFFF"/>
        </w:rPr>
        <w:t xml:space="preserve">多措并举守正创新强师铸魂 </w:t>
      </w:r>
    </w:p>
    <w:p>
      <w:pPr>
        <w:spacing w:line="576" w:lineRule="exact"/>
        <w:jc w:val="center"/>
        <w:rPr>
          <w:rFonts w:hint="default" w:ascii="Times New Roman" w:hAnsi="Times New Roman" w:eastAsia="方正小标宋_GBK" w:cs="Times New Roman"/>
          <w:bCs/>
          <w:color w:val="000000" w:themeColor="text1"/>
          <w:sz w:val="44"/>
          <w:szCs w:val="44"/>
          <w:shd w:val="clear" w:color="auto" w:fill="FFFFFF"/>
        </w:rPr>
      </w:pPr>
      <w:r>
        <w:rPr>
          <w:rFonts w:hint="default" w:ascii="Times New Roman" w:hAnsi="Times New Roman" w:eastAsia="方正小标宋_GBK" w:cs="Times New Roman"/>
          <w:bCs/>
          <w:color w:val="000000" w:themeColor="text1"/>
          <w:sz w:val="44"/>
          <w:szCs w:val="44"/>
          <w:shd w:val="clear" w:color="auto" w:fill="FFFFFF"/>
        </w:rPr>
        <w:t>打造新时期“双师型”教师队伍</w:t>
      </w:r>
    </w:p>
    <w:p>
      <w:pPr>
        <w:spacing w:line="576" w:lineRule="exact"/>
        <w:jc w:val="right"/>
        <w:rPr>
          <w:rFonts w:hint="default" w:ascii="Times New Roman" w:hAnsi="Times New Roman" w:eastAsia="楷体" w:cs="Times New Roman"/>
          <w:sz w:val="32"/>
          <w:szCs w:val="32"/>
        </w:rPr>
      </w:pPr>
      <w:r>
        <w:rPr>
          <w:rFonts w:hint="default" w:ascii="Times New Roman" w:hAnsi="Times New Roman" w:eastAsia="楷体" w:cs="Times New Roman"/>
          <w:sz w:val="32"/>
          <w:szCs w:val="32"/>
        </w:rPr>
        <w:t>——青海建筑职业技术学院</w:t>
      </w:r>
      <w:r>
        <w:rPr>
          <w:rFonts w:hint="default" w:ascii="Times New Roman" w:hAnsi="Times New Roman" w:eastAsia="楷体" w:cs="Times New Roman"/>
          <w:color w:val="000000" w:themeColor="text1"/>
          <w:sz w:val="32"/>
          <w:szCs w:val="32"/>
        </w:rPr>
        <w:t>“双师型”</w:t>
      </w:r>
      <w:r>
        <w:rPr>
          <w:rFonts w:hint="default" w:ascii="Times New Roman" w:hAnsi="Times New Roman" w:eastAsia="楷体" w:cs="Times New Roman"/>
          <w:sz w:val="32"/>
          <w:szCs w:val="32"/>
        </w:rPr>
        <w:t>教师队伍建设案例</w:t>
      </w:r>
    </w:p>
    <w:p>
      <w:pPr>
        <w:spacing w:line="576" w:lineRule="exact"/>
        <w:ind w:firstLine="643" w:firstLineChars="200"/>
        <w:rPr>
          <w:rFonts w:hint="default" w:ascii="Times New Roman" w:hAnsi="Times New Roman" w:eastAsia="黑体" w:cs="Times New Roman"/>
          <w:b/>
          <w:sz w:val="32"/>
          <w:szCs w:val="32"/>
        </w:rPr>
      </w:pPr>
    </w:p>
    <w:p>
      <w:pPr>
        <w:spacing w:line="576" w:lineRule="exact"/>
        <w:ind w:firstLine="640" w:firstLineChars="200"/>
        <w:rPr>
          <w:rFonts w:hint="default" w:ascii="Times New Roman" w:hAnsi="Times New Roman" w:eastAsia="黑体" w:cs="Times New Roman"/>
          <w:b/>
          <w:sz w:val="32"/>
          <w:szCs w:val="32"/>
        </w:rPr>
      </w:pPr>
      <w:r>
        <w:rPr>
          <w:rFonts w:hint="default" w:ascii="Times New Roman" w:hAnsi="Times New Roman" w:eastAsia="黑体" w:cs="Times New Roman"/>
          <w:bCs/>
          <w:sz w:val="32"/>
          <w:szCs w:val="32"/>
        </w:rPr>
        <w:t>一、引言</w:t>
      </w:r>
    </w:p>
    <w:p>
      <w:pPr>
        <w:spacing w:line="576"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青海建筑职业技术学院以习近平新时代中国特色社会主义思想为指导，认真</w:t>
      </w:r>
      <w:r>
        <w:rPr>
          <w:rFonts w:hint="default" w:ascii="Times New Roman" w:hAnsi="Times New Roman" w:eastAsia="仿宋_GB2312" w:cs="Times New Roman"/>
          <w:sz w:val="32"/>
          <w:szCs w:val="32"/>
        </w:rPr>
        <w:t>贯彻《国家职业教育改革实施方案》</w:t>
      </w:r>
      <w:r>
        <w:rPr>
          <w:rFonts w:hint="default" w:ascii="Times New Roman" w:hAnsi="Times New Roman" w:eastAsia="仿宋_GB2312" w:cs="Times New Roman"/>
          <w:sz w:val="32"/>
          <w:szCs w:val="32"/>
        </w:rPr>
        <w:t>《关于全面深化新时代队伍建设改革意见》和</w:t>
      </w:r>
      <w:r>
        <w:rPr>
          <w:rFonts w:hint="default" w:ascii="Times New Roman" w:hAnsi="Times New Roman" w:eastAsia="仿宋_GB2312" w:cs="Times New Roman"/>
          <w:sz w:val="32"/>
          <w:szCs w:val="32"/>
        </w:rPr>
        <w:t>《深化新时代职业教育“双师型”教师队伍建设改革实施方案》等文件精神，</w:t>
      </w:r>
      <w:r>
        <w:rPr>
          <w:rFonts w:hint="default" w:ascii="Times New Roman" w:hAnsi="Times New Roman" w:eastAsia="仿宋_GB2312" w:cs="Times New Roman"/>
          <w:sz w:val="32"/>
          <w:szCs w:val="32"/>
        </w:rPr>
        <w:t>立足职业教育高质量发展，以“德技并修、寓教于产”为宗旨，</w:t>
      </w:r>
      <w:r>
        <w:rPr>
          <w:rFonts w:hint="default" w:ascii="Times New Roman" w:hAnsi="Times New Roman" w:eastAsia="仿宋_GB2312" w:cs="Times New Roman"/>
          <w:sz w:val="32"/>
          <w:szCs w:val="32"/>
        </w:rPr>
        <w:t>以</w:t>
      </w:r>
      <w:r>
        <w:rPr>
          <w:rFonts w:hint="default" w:ascii="Times New Roman" w:hAnsi="Times New Roman" w:eastAsia="仿宋_GB2312" w:cs="Times New Roman"/>
          <w:sz w:val="32"/>
          <w:szCs w:val="32"/>
        </w:rPr>
        <w:t>省级双高计划</w:t>
      </w:r>
      <w:r>
        <w:rPr>
          <w:rFonts w:hint="default" w:ascii="Times New Roman" w:hAnsi="Times New Roman" w:eastAsia="仿宋_GB2312" w:cs="Times New Roman"/>
          <w:sz w:val="32"/>
          <w:szCs w:val="32"/>
        </w:rPr>
        <w:t>建设项目为抓手，筑基提质、补短扶弱、做优建强，打造了一支服务</w:t>
      </w:r>
      <w:r>
        <w:rPr>
          <w:rFonts w:hint="default" w:ascii="Times New Roman" w:hAnsi="Times New Roman" w:eastAsia="仿宋_GB2312" w:cs="Times New Roman"/>
          <w:sz w:val="32"/>
          <w:szCs w:val="32"/>
        </w:rPr>
        <w:t>青藏高原产业</w:t>
      </w:r>
      <w:r>
        <w:rPr>
          <w:rFonts w:hint="default" w:ascii="Times New Roman" w:hAnsi="Times New Roman" w:eastAsia="仿宋_GB2312" w:cs="Times New Roman"/>
          <w:sz w:val="32"/>
          <w:szCs w:val="32"/>
        </w:rPr>
        <w:t>发展需要、德技兼备、育训皆能的</w:t>
      </w:r>
      <w:r>
        <w:rPr>
          <w:rFonts w:hint="default" w:ascii="Times New Roman" w:hAnsi="Times New Roman" w:eastAsia="仿宋_GB2312" w:cs="Times New Roman"/>
          <w:sz w:val="32"/>
          <w:szCs w:val="32"/>
        </w:rPr>
        <w:t>“双师型”</w:t>
      </w:r>
      <w:r>
        <w:rPr>
          <w:rFonts w:hint="default" w:ascii="Times New Roman" w:hAnsi="Times New Roman" w:eastAsia="仿宋_GB2312" w:cs="Times New Roman"/>
          <w:sz w:val="32"/>
          <w:szCs w:val="32"/>
        </w:rPr>
        <w:t>教学</w:t>
      </w:r>
      <w:r>
        <w:rPr>
          <w:rFonts w:hint="default" w:ascii="Times New Roman" w:hAnsi="Times New Roman" w:eastAsia="仿宋_GB2312" w:cs="Times New Roman"/>
          <w:sz w:val="32"/>
          <w:szCs w:val="32"/>
        </w:rPr>
        <w:t>队伍。</w:t>
      </w:r>
    </w:p>
    <w:p>
      <w:pPr>
        <w:spacing w:line="576"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二、主要措施</w:t>
      </w:r>
    </w:p>
    <w:p>
      <w:pPr>
        <w:spacing w:line="576" w:lineRule="exact"/>
        <w:jc w:val="center"/>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（一）筑基提质、</w:t>
      </w:r>
      <w:r>
        <w:rPr>
          <w:rFonts w:hint="default" w:ascii="Times New Roman" w:hAnsi="Times New Roman" w:eastAsia="楷体" w:cs="Times New Roman"/>
          <w:color w:val="000000" w:themeColor="text1"/>
          <w:sz w:val="32"/>
          <w:szCs w:val="32"/>
        </w:rPr>
        <w:t>完善</w:t>
      </w:r>
      <w:r>
        <w:rPr>
          <w:rFonts w:hint="default" w:ascii="Times New Roman" w:hAnsi="Times New Roman" w:eastAsia="楷体" w:cs="Times New Roman"/>
          <w:sz w:val="32"/>
          <w:szCs w:val="32"/>
        </w:rPr>
        <w:t>体系，创新教师成长发展路径模式</w:t>
      </w:r>
    </w:p>
    <w:p>
      <w:pPr>
        <w:spacing w:line="576" w:lineRule="exact"/>
        <w:ind w:firstLine="640" w:firstLineChars="200"/>
        <w:rPr>
          <w:rFonts w:hint="default" w:ascii="Times New Roman" w:hAnsi="Times New Roman" w:eastAsia="仿宋_GB2312" w:cs="Times New Roman"/>
          <w:bCs/>
          <w:color w:val="000000" w:themeColor="text1"/>
          <w:sz w:val="32"/>
          <w:szCs w:val="32"/>
        </w:rPr>
      </w:pPr>
      <w:r>
        <w:rPr>
          <w:rFonts w:hint="default" w:ascii="Times New Roman" w:hAnsi="Times New Roman" w:eastAsia="仿宋_GB2312" w:cs="Times New Roman"/>
          <w:sz w:val="32"/>
          <w:szCs w:val="32"/>
        </w:rPr>
        <w:t>以省级双高计划为载体，以推进教学改革为切入点，以强化校本培训为主要形式，</w:t>
      </w:r>
      <w:r>
        <w:rPr>
          <w:rFonts w:hint="default" w:ascii="Times New Roman" w:hAnsi="Times New Roman" w:eastAsia="仿宋_GB2312" w:cs="Times New Roman"/>
          <w:b/>
          <w:sz w:val="32"/>
          <w:szCs w:val="32"/>
        </w:rPr>
        <w:t>一是</w:t>
      </w:r>
      <w:r>
        <w:rPr>
          <w:rFonts w:hint="default" w:ascii="Times New Roman" w:hAnsi="Times New Roman" w:eastAsia="仿宋_GB2312" w:cs="Times New Roman"/>
          <w:sz w:val="32"/>
          <w:szCs w:val="32"/>
        </w:rPr>
        <w:t>立项建设教师专业发展中心。围绕双师型教师培养路径，</w:t>
      </w:r>
      <w:r>
        <w:rPr>
          <w:rFonts w:hint="default" w:ascii="Times New Roman" w:hAnsi="Times New Roman" w:eastAsia="仿宋_GB2312" w:cs="Times New Roman"/>
          <w:sz w:val="32"/>
          <w:szCs w:val="32"/>
        </w:rPr>
        <w:t>搭建成长</w:t>
      </w:r>
      <w:r>
        <w:rPr>
          <w:rFonts w:hint="default" w:ascii="Times New Roman" w:hAnsi="Times New Roman" w:eastAsia="仿宋_GB2312" w:cs="Times New Roman"/>
          <w:sz w:val="32"/>
          <w:szCs w:val="32"/>
        </w:rPr>
        <w:t>交流共进</w:t>
      </w:r>
      <w:r>
        <w:rPr>
          <w:rFonts w:hint="default" w:ascii="Times New Roman" w:hAnsi="Times New Roman" w:eastAsia="仿宋_GB2312" w:cs="Times New Roman"/>
          <w:sz w:val="32"/>
          <w:szCs w:val="32"/>
        </w:rPr>
        <w:t>平台</w:t>
      </w:r>
      <w:r>
        <w:rPr>
          <w:rFonts w:hint="default" w:ascii="Times New Roman" w:hAnsi="Times New Roman" w:eastAsia="仿宋_GB2312" w:cs="Times New Roman"/>
          <w:sz w:val="32"/>
          <w:szCs w:val="32"/>
        </w:rPr>
        <w:t>，构建“校级教师发展中心+</w:t>
      </w:r>
      <w:r>
        <w:rPr>
          <w:rFonts w:hint="default" w:ascii="Times New Roman" w:hAnsi="Times New Roman" w:eastAsia="仿宋_GB2312" w:cs="Times New Roman"/>
          <w:sz w:val="32"/>
          <w:szCs w:val="32"/>
        </w:rPr>
        <w:t>校内技能大师工作室+教师企业实践流动站</w:t>
      </w:r>
      <w:r>
        <w:rPr>
          <w:rFonts w:hint="default" w:ascii="Times New Roman" w:hAnsi="Times New Roman" w:eastAsia="仿宋_GB2312" w:cs="Times New Roman"/>
          <w:sz w:val="32"/>
          <w:szCs w:val="32"/>
        </w:rPr>
        <w:t>”“三位一体”教师发展专项建设模式，筑牢教师发展基础，建立健全教师入职培训和在职研修体系，打造教师培训、交流、咨询平台。通过开展</w:t>
      </w:r>
      <w:r>
        <w:rPr>
          <w:rFonts w:hint="default" w:ascii="Times New Roman" w:hAnsi="Times New Roman" w:eastAsia="仿宋_GB2312" w:cs="Times New Roman"/>
          <w:bCs/>
          <w:sz w:val="32"/>
          <w:szCs w:val="32"/>
        </w:rPr>
        <w:t>“4111”教学沙龙、“邀请您来我课堂”</w:t>
      </w:r>
      <w:r>
        <w:rPr>
          <w:rFonts w:hint="default" w:ascii="Times New Roman" w:hAnsi="Times New Roman" w:eastAsia="仿宋_GB2312" w:cs="Times New Roman"/>
          <w:bCs/>
          <w:sz w:val="32"/>
          <w:szCs w:val="32"/>
        </w:rPr>
        <w:t>、校级教育教学会</w:t>
      </w:r>
      <w:r>
        <w:rPr>
          <w:rFonts w:hint="default" w:ascii="Times New Roman" w:hAnsi="Times New Roman" w:eastAsia="仿宋_GB2312" w:cs="Times New Roman"/>
          <w:bCs/>
          <w:sz w:val="32"/>
          <w:szCs w:val="32"/>
        </w:rPr>
        <w:t>研讨</w:t>
      </w:r>
      <w:r>
        <w:rPr>
          <w:rFonts w:hint="default" w:ascii="Times New Roman" w:hAnsi="Times New Roman" w:eastAsia="仿宋_GB2312" w:cs="Times New Roman"/>
          <w:bCs/>
          <w:sz w:val="32"/>
          <w:szCs w:val="32"/>
        </w:rPr>
        <w:t>会等</w:t>
      </w:r>
      <w:r>
        <w:rPr>
          <w:rFonts w:hint="default" w:ascii="Times New Roman" w:hAnsi="Times New Roman" w:eastAsia="仿宋_GB2312" w:cs="Times New Roman"/>
          <w:bCs/>
          <w:sz w:val="32"/>
          <w:szCs w:val="32"/>
        </w:rPr>
        <w:t>交流</w:t>
      </w:r>
      <w:r>
        <w:rPr>
          <w:rFonts w:hint="default" w:ascii="Times New Roman" w:hAnsi="Times New Roman" w:eastAsia="仿宋_GB2312" w:cs="Times New Roman"/>
          <w:bCs/>
          <w:sz w:val="32"/>
          <w:szCs w:val="32"/>
        </w:rPr>
        <w:t>平台</w:t>
      </w:r>
      <w:r>
        <w:rPr>
          <w:rFonts w:hint="default" w:ascii="Times New Roman" w:hAnsi="Times New Roman" w:eastAsia="仿宋_GB2312" w:cs="Times New Roman"/>
          <w:bCs/>
          <w:sz w:val="32"/>
          <w:szCs w:val="32"/>
        </w:rPr>
        <w:t>，助推教师</w:t>
      </w:r>
      <w:r>
        <w:rPr>
          <w:rFonts w:hint="default" w:ascii="Times New Roman" w:hAnsi="Times New Roman" w:eastAsia="仿宋_GB2312" w:cs="Times New Roman"/>
          <w:bCs/>
          <w:sz w:val="32"/>
          <w:szCs w:val="32"/>
        </w:rPr>
        <w:t>提升</w:t>
      </w:r>
      <w:r>
        <w:rPr>
          <w:rFonts w:hint="default" w:ascii="Times New Roman" w:hAnsi="Times New Roman" w:eastAsia="仿宋_GB2312" w:cs="Times New Roman"/>
          <w:bCs/>
          <w:sz w:val="32"/>
          <w:szCs w:val="32"/>
        </w:rPr>
        <w:t>共进。</w:t>
      </w:r>
      <w:r>
        <w:rPr>
          <w:rFonts w:hint="default" w:ascii="Times New Roman" w:hAnsi="Times New Roman" w:eastAsia="仿宋_GB2312" w:cs="Times New Roman"/>
          <w:b/>
          <w:sz w:val="32"/>
          <w:szCs w:val="32"/>
        </w:rPr>
        <w:t>二是</w:t>
      </w:r>
      <w:r>
        <w:rPr>
          <w:rFonts w:hint="default" w:ascii="Times New Roman" w:hAnsi="Times New Roman" w:eastAsia="仿宋_GB2312" w:cs="Times New Roman"/>
          <w:sz w:val="32"/>
          <w:szCs w:val="32"/>
        </w:rPr>
        <w:t>加快推进人事制度改革。聚焦职称、公开招聘和外聘教师等重点问题，加强制度建设，激发人才活力。</w:t>
      </w:r>
      <w:r>
        <w:rPr>
          <w:rFonts w:hint="default" w:ascii="Times New Roman" w:hAnsi="Times New Roman" w:eastAsia="仿宋_GB2312" w:cs="Times New Roman"/>
          <w:bCs/>
          <w:color w:val="000000" w:themeColor="text1"/>
          <w:sz w:val="32"/>
          <w:szCs w:val="32"/>
        </w:rPr>
        <w:t>依据“强化评价导向”，突出“教育教学能力和业绩评价导向”的内涵要求，出台《专业技术人员职称评审实施办法（试行）》，坚持“以德为先、教书育人、突出实绩”，充分发挥职称评审“指挥棒”作用，将教书育人优秀成果作为代表性成果、将校本业绩作为职称评聘的重要依据，客观公正地评价教师教学能力和教科研水平，引导广大教师积极投身教书育人事业，促进师资队伍建设、提高教育教学水平。修订完善《编制外聘用人员管理办法》提升外聘教职工工资待遇，明确聘用流程、加强考核管理。做好人才引进工作，</w:t>
      </w:r>
      <w:r>
        <w:rPr>
          <w:rFonts w:hint="default" w:ascii="Times New Roman" w:hAnsi="Times New Roman" w:eastAsia="仿宋_GB2312" w:cs="Times New Roman"/>
          <w:bCs/>
          <w:color w:val="000000" w:themeColor="text1"/>
          <w:sz w:val="32"/>
          <w:szCs w:val="32"/>
        </w:rPr>
        <w:t>近3年</w:t>
      </w:r>
      <w:r>
        <w:rPr>
          <w:rFonts w:hint="default" w:ascii="Times New Roman" w:hAnsi="Times New Roman" w:eastAsia="仿宋_GB2312" w:cs="Times New Roman"/>
          <w:bCs/>
          <w:color w:val="000000" w:themeColor="text1"/>
          <w:sz w:val="32"/>
          <w:szCs w:val="32"/>
        </w:rPr>
        <w:t>招录急需紧缺人才</w:t>
      </w:r>
      <w:r>
        <w:rPr>
          <w:rFonts w:hint="default" w:ascii="Times New Roman" w:hAnsi="Times New Roman" w:eastAsia="仿宋_GB2312" w:cs="Times New Roman"/>
          <w:bCs/>
          <w:color w:val="000000" w:themeColor="text1"/>
          <w:sz w:val="32"/>
          <w:szCs w:val="32"/>
        </w:rPr>
        <w:t>24名，其中</w:t>
      </w:r>
      <w:r>
        <w:rPr>
          <w:rFonts w:hint="default" w:ascii="Times New Roman" w:hAnsi="Times New Roman" w:eastAsia="仿宋_GB2312" w:cs="Times New Roman"/>
          <w:bCs/>
          <w:color w:val="000000" w:themeColor="text1"/>
          <w:sz w:val="32"/>
          <w:szCs w:val="32"/>
        </w:rPr>
        <w:t>有</w:t>
      </w:r>
      <w:r>
        <w:rPr>
          <w:rFonts w:hint="default" w:ascii="Times New Roman" w:hAnsi="Times New Roman" w:eastAsia="仿宋_GB2312" w:cs="Times New Roman"/>
          <w:bCs/>
          <w:color w:val="000000" w:themeColor="text1"/>
          <w:sz w:val="32"/>
          <w:szCs w:val="32"/>
        </w:rPr>
        <w:t>行业</w:t>
      </w:r>
      <w:r>
        <w:rPr>
          <w:rFonts w:hint="default" w:ascii="Times New Roman" w:hAnsi="Times New Roman" w:eastAsia="仿宋_GB2312" w:cs="Times New Roman"/>
          <w:bCs/>
          <w:color w:val="000000" w:themeColor="text1"/>
          <w:sz w:val="32"/>
          <w:szCs w:val="32"/>
        </w:rPr>
        <w:t>企业工作经历的12名。</w:t>
      </w:r>
    </w:p>
    <w:p>
      <w:pPr>
        <w:spacing w:line="576" w:lineRule="exact"/>
        <w:jc w:val="center"/>
        <w:rPr>
          <w:rFonts w:hint="default" w:ascii="Times New Roman" w:hAnsi="Times New Roman" w:eastAsia="楷体" w:cs="Times New Roman"/>
          <w:color w:val="000000" w:themeColor="text1"/>
          <w:sz w:val="32"/>
          <w:szCs w:val="32"/>
        </w:rPr>
      </w:pPr>
      <w:r>
        <w:rPr>
          <w:rFonts w:hint="default" w:ascii="Times New Roman" w:hAnsi="Times New Roman" w:eastAsia="楷体" w:cs="Times New Roman"/>
          <w:sz w:val="32"/>
          <w:szCs w:val="32"/>
        </w:rPr>
        <w:t>（二）</w:t>
      </w:r>
      <w:r>
        <w:rPr>
          <w:rFonts w:hint="default" w:ascii="Times New Roman" w:hAnsi="Times New Roman" w:eastAsia="楷体" w:cs="Times New Roman"/>
          <w:color w:val="000000" w:themeColor="text1"/>
          <w:sz w:val="32"/>
          <w:szCs w:val="32"/>
        </w:rPr>
        <w:t>德技并修、立德铸魂，健全“双师型”教师标准体系</w:t>
      </w:r>
    </w:p>
    <w:p>
      <w:pPr>
        <w:spacing w:line="576" w:lineRule="exact"/>
        <w:ind w:firstLine="640" w:firstLineChars="200"/>
        <w:rPr>
          <w:rFonts w:hint="default" w:ascii="Times New Roman" w:hAnsi="Times New Roman" w:cs="Times New Roman"/>
          <w:sz w:val="24"/>
          <w:szCs w:val="24"/>
        </w:rPr>
      </w:pPr>
      <w:r>
        <w:rPr>
          <w:rFonts w:hint="default" w:ascii="Times New Roman" w:hAnsi="Times New Roman" w:eastAsia="仿宋_GB2312" w:cs="Times New Roman"/>
          <w:sz w:val="32"/>
          <w:szCs w:val="32"/>
        </w:rPr>
        <w:t>对照教育部《职业教育“双师型”教师基本标准》和《新时代高校教师职业行为十项准则》，加强师德师风建设，建设“四有”“双师型”教师队伍，</w:t>
      </w:r>
      <w:r>
        <w:rPr>
          <w:rFonts w:hint="default" w:ascii="Times New Roman" w:hAnsi="Times New Roman" w:eastAsia="仿宋_GB2312" w:cs="Times New Roman"/>
          <w:b/>
          <w:sz w:val="32"/>
          <w:szCs w:val="32"/>
        </w:rPr>
        <w:t>一是</w:t>
      </w:r>
      <w:r>
        <w:rPr>
          <w:rFonts w:hint="default" w:ascii="Times New Roman" w:hAnsi="Times New Roman" w:eastAsia="仿宋_GB2312" w:cs="Times New Roman"/>
          <w:color w:val="000000" w:themeColor="text1"/>
          <w:sz w:val="32"/>
          <w:szCs w:val="32"/>
        </w:rPr>
        <w:t>精耕</w:t>
      </w:r>
      <w:r>
        <w:rPr>
          <w:rFonts w:hint="default" w:ascii="Times New Roman" w:hAnsi="Times New Roman" w:eastAsia="仿宋_GB2312" w:cs="Times New Roman"/>
          <w:bCs/>
          <w:color w:val="000000" w:themeColor="text1"/>
          <w:sz w:val="32"/>
          <w:szCs w:val="32"/>
        </w:rPr>
        <w:t>“双师型”教师发展内涵，出台学院《</w:t>
      </w:r>
      <w:r>
        <w:rPr>
          <w:rFonts w:hint="default" w:ascii="Times New Roman" w:hAnsi="Times New Roman" w:eastAsia="仿宋_GB2312" w:cs="Times New Roman"/>
          <w:color w:val="000000" w:themeColor="text1"/>
          <w:sz w:val="32"/>
          <w:szCs w:val="32"/>
        </w:rPr>
        <w:t>教师实践锻炼管理办法》等30余项制度，将教师参加专业实践、企业锻炼作为教师职称晋升及岗位聘任的重要条件，为教师实践能力培养提供了制度保障</w:t>
      </w:r>
      <w:r>
        <w:rPr>
          <w:rFonts w:hint="default" w:ascii="Times New Roman" w:hAnsi="Times New Roman" w:eastAsia="仿宋_GB2312" w:cs="Times New Roman"/>
          <w:sz w:val="32"/>
          <w:szCs w:val="32"/>
        </w:rPr>
        <w:t>；</w:t>
      </w:r>
      <w:r>
        <w:rPr>
          <w:rFonts w:hint="default" w:ascii="Times New Roman" w:hAnsi="Times New Roman" w:eastAsia="仿宋_GB2312" w:cs="Times New Roman"/>
          <w:b/>
          <w:sz w:val="32"/>
          <w:szCs w:val="32"/>
        </w:rPr>
        <w:t>二是</w:t>
      </w:r>
      <w:r>
        <w:rPr>
          <w:rFonts w:hint="default" w:ascii="Times New Roman" w:hAnsi="Times New Roman" w:eastAsia="仿宋_GB2312" w:cs="Times New Roman"/>
          <w:sz w:val="32"/>
          <w:szCs w:val="32"/>
        </w:rPr>
        <w:t>按照“四有”好</w:t>
      </w:r>
      <w:r>
        <w:rPr>
          <w:rFonts w:hint="default" w:ascii="Times New Roman" w:hAnsi="Times New Roman" w:eastAsia="仿宋_GB2312" w:cs="Times New Roman"/>
          <w:color w:val="000000" w:themeColor="text1"/>
          <w:sz w:val="32"/>
          <w:szCs w:val="32"/>
        </w:rPr>
        <w:t>老师</w:t>
      </w:r>
      <w:r>
        <w:rPr>
          <w:rFonts w:hint="default" w:ascii="Times New Roman" w:hAnsi="Times New Roman" w:eastAsia="仿宋_GB2312" w:cs="Times New Roman"/>
          <w:sz w:val="32"/>
          <w:szCs w:val="32"/>
        </w:rPr>
        <w:t>标准，将师德师风纳入“双师”培训体系，采用专家入校、派出学习、校内交流研讨等符合教师发展共性需求的专题培训、交流研讨，提高师德建设的力度和渗透力，推动培育“四有”好老师制度化、常态化；</w:t>
      </w:r>
      <w:r>
        <w:rPr>
          <w:rFonts w:hint="default" w:ascii="Times New Roman" w:hAnsi="Times New Roman" w:eastAsia="仿宋_GB2312" w:cs="Times New Roman"/>
          <w:b/>
          <w:sz w:val="32"/>
          <w:szCs w:val="32"/>
        </w:rPr>
        <w:t>三是</w:t>
      </w:r>
      <w:r>
        <w:rPr>
          <w:rFonts w:hint="default" w:ascii="Times New Roman" w:hAnsi="Times New Roman" w:eastAsia="仿宋_GB2312" w:cs="Times New Roman"/>
          <w:sz w:val="32"/>
          <w:szCs w:val="32"/>
        </w:rPr>
        <w:t>构建“双师型”师德监督考评体系。遵循职业教育规律，健全践行工匠精神、彰显“三全育人”规范的师德评价体系，下发《关于开展师德建设长效机制贯彻落实专项督查工作的通知（方案）》将师德师风建设纳入教师管理全过程，构建校内外多主体深度参与的师德监督渠道，健全预警机制，引领师德师风建设形成新常态。</w:t>
      </w:r>
    </w:p>
    <w:p>
      <w:pPr>
        <w:spacing w:line="576" w:lineRule="exact"/>
        <w:jc w:val="center"/>
        <w:rPr>
          <w:rFonts w:hint="default" w:ascii="Times New Roman" w:hAnsi="Times New Roman" w:eastAsia="楷体" w:cs="Times New Roman"/>
          <w:color w:val="000000" w:themeColor="text1"/>
          <w:sz w:val="32"/>
          <w:szCs w:val="32"/>
        </w:rPr>
      </w:pPr>
      <w:r>
        <w:rPr>
          <w:rFonts w:hint="default" w:ascii="Times New Roman" w:hAnsi="Times New Roman" w:eastAsia="楷体" w:cs="Times New Roman"/>
          <w:sz w:val="32"/>
          <w:szCs w:val="32"/>
        </w:rPr>
        <w:t>（三）</w:t>
      </w:r>
      <w:r>
        <w:rPr>
          <w:rFonts w:hint="default" w:ascii="Times New Roman" w:hAnsi="Times New Roman" w:eastAsia="楷体" w:cs="Times New Roman"/>
          <w:color w:val="000000" w:themeColor="text1"/>
          <w:sz w:val="32"/>
          <w:szCs w:val="32"/>
        </w:rPr>
        <w:t>寓教于产、交流互通，促进校企技术文化双融合</w:t>
      </w:r>
    </w:p>
    <w:p>
      <w:pPr>
        <w:spacing w:line="576"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依托青海建筑通信职教集团，以校企合作、产教融合为切入点，打造校企“双师型”教师命运共同体，提升教师顶岗实践效能，</w:t>
      </w:r>
      <w:r>
        <w:rPr>
          <w:rFonts w:hint="default" w:ascii="Times New Roman" w:hAnsi="Times New Roman" w:eastAsia="仿宋_GB2312" w:cs="Times New Roman"/>
          <w:b/>
          <w:sz w:val="32"/>
          <w:szCs w:val="32"/>
        </w:rPr>
        <w:t>一是</w:t>
      </w:r>
      <w:r>
        <w:rPr>
          <w:rFonts w:hint="default" w:ascii="Times New Roman" w:hAnsi="Times New Roman" w:eastAsia="仿宋_GB2312" w:cs="Times New Roman"/>
          <w:sz w:val="32"/>
          <w:szCs w:val="32"/>
        </w:rPr>
        <w:t>共建双师型教师培养培训基地。依托青海建筑通信职教集团，深化产教融合、校企合作，修订《校企合作管理办法》《校企合作管理细则》，持续推进校企合作“1122校企拜访活动”（1周1个院领导带领2个二级学院各拜访2家企业），建成校外顶岗实习实训基地103家，校内大师工作室4个，省级产教融合型企业1个，教师企业实践流动站1个，“双师型”教师企业培养培训基地1个。2022年建成省级职业教育培训基地、国家级专业技术人员继续教育和国家级“双师型”教师培训基地，校企合作参加职业技能大赛171人次，获得全国职业院校技能大赛，建筑工程识图赛项、云计算赛项2项三等奖；</w:t>
      </w:r>
      <w:r>
        <w:rPr>
          <w:rFonts w:hint="default" w:ascii="Times New Roman" w:hAnsi="Times New Roman" w:eastAsia="仿宋_GB2312" w:cs="Times New Roman"/>
          <w:b/>
          <w:sz w:val="32"/>
          <w:szCs w:val="32"/>
        </w:rPr>
        <w:t>二是</w:t>
      </w:r>
      <w:r>
        <w:rPr>
          <w:rFonts w:hint="default" w:ascii="Times New Roman" w:hAnsi="Times New Roman" w:eastAsia="仿宋_GB2312" w:cs="Times New Roman"/>
          <w:sz w:val="32"/>
          <w:szCs w:val="32"/>
        </w:rPr>
        <w:t>建立教师和企业高技能人才技能文化双向交流机制。制定了《兼职教师管理办法》，实</w:t>
      </w:r>
      <w:r>
        <w:rPr>
          <w:rFonts w:hint="default" w:ascii="Times New Roman" w:hAnsi="Times New Roman" w:eastAsia="仿宋_GB2312" w:cs="Times New Roman"/>
          <w:color w:val="000000" w:themeColor="text1"/>
          <w:sz w:val="32"/>
          <w:szCs w:val="32"/>
        </w:rPr>
        <w:t>行“产教岗位互通、专兼教师互聘”培养模式，建立岗位互通机制，年</w:t>
      </w:r>
      <w:r>
        <w:rPr>
          <w:rFonts w:hint="default" w:ascii="Times New Roman" w:hAnsi="Times New Roman" w:eastAsia="仿宋_GB2312" w:cs="Times New Roman"/>
          <w:sz w:val="32"/>
          <w:szCs w:val="32"/>
        </w:rPr>
        <w:t>均</w:t>
      </w:r>
      <w:r>
        <w:rPr>
          <w:rFonts w:hint="default" w:ascii="Times New Roman" w:hAnsi="Times New Roman" w:eastAsia="仿宋_GB2312" w:cs="Times New Roman"/>
          <w:sz w:val="32"/>
          <w:szCs w:val="32"/>
        </w:rPr>
        <w:t>聘请60名企业专业人才和能工巧匠参与教育教学。</w:t>
      </w:r>
      <w:r>
        <w:rPr>
          <w:rFonts w:hint="default" w:ascii="Times New Roman" w:hAnsi="Times New Roman" w:eastAsia="仿宋_GB2312" w:cs="Times New Roman"/>
          <w:sz w:val="32"/>
          <w:szCs w:val="32"/>
        </w:rPr>
        <w:t>通过校企互派互聘，促进专兼教师互助互学、取长补短，实现“双师双能”。近年来，</w:t>
      </w:r>
      <w:r>
        <w:rPr>
          <w:rFonts w:hint="default" w:ascii="Times New Roman" w:hAnsi="Times New Roman" w:eastAsia="仿宋_GB2312" w:cs="Times New Roman"/>
          <w:color w:val="000000"/>
          <w:sz w:val="32"/>
          <w:szCs w:val="32"/>
        </w:rPr>
        <w:t>企业兼职教师，承担教学任务、开展专业授课、讲座</w:t>
      </w:r>
      <w:r>
        <w:rPr>
          <w:rFonts w:hint="default" w:ascii="Times New Roman" w:hAnsi="Times New Roman" w:eastAsia="仿宋_GB2312" w:cs="Times New Roman"/>
          <w:color w:val="000000"/>
          <w:sz w:val="32"/>
          <w:szCs w:val="32"/>
        </w:rPr>
        <w:t>年均达</w:t>
      </w:r>
      <w:r>
        <w:rPr>
          <w:rFonts w:hint="default" w:ascii="Times New Roman" w:hAnsi="Times New Roman" w:eastAsia="仿宋_GB2312" w:cs="Times New Roman"/>
          <w:color w:val="000000"/>
          <w:sz w:val="32"/>
          <w:szCs w:val="32"/>
        </w:rPr>
        <w:t>5</w:t>
      </w:r>
      <w:r>
        <w:rPr>
          <w:rFonts w:hint="default" w:ascii="Times New Roman" w:hAnsi="Times New Roman" w:eastAsia="仿宋_GB2312" w:cs="Times New Roman"/>
          <w:color w:val="000000"/>
          <w:sz w:val="32"/>
          <w:szCs w:val="32"/>
        </w:rPr>
        <w:t>0</w:t>
      </w:r>
      <w:r>
        <w:rPr>
          <w:rFonts w:hint="default" w:ascii="Times New Roman" w:hAnsi="Times New Roman" w:eastAsia="仿宋_GB2312" w:cs="Times New Roman"/>
          <w:color w:val="000000"/>
          <w:sz w:val="32"/>
          <w:szCs w:val="32"/>
        </w:rPr>
        <w:t>00余学时</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b/>
          <w:sz w:val="32"/>
          <w:szCs w:val="32"/>
        </w:rPr>
        <w:t>三是</w:t>
      </w:r>
      <w:r>
        <w:rPr>
          <w:rFonts w:hint="default" w:ascii="Times New Roman" w:hAnsi="Times New Roman" w:eastAsia="仿宋_GB2312" w:cs="Times New Roman"/>
          <w:sz w:val="32"/>
          <w:szCs w:val="32"/>
        </w:rPr>
        <w:t>实施校企“专业双负责人”制度。出台《专业带头人、专业负责人选拔及管理办法（试行）》，建立专业双负责人制度，明确选择依据、考核办法和奖励措施，推动专业建设和师资培养。20</w:t>
      </w:r>
      <w:r>
        <w:rPr>
          <w:rFonts w:hint="default" w:ascii="Times New Roman" w:hAnsi="Times New Roman" w:eastAsia="仿宋_GB2312" w:cs="Times New Roman"/>
          <w:sz w:val="32"/>
          <w:szCs w:val="32"/>
        </w:rPr>
        <w:t>22</w:t>
      </w:r>
      <w:r>
        <w:rPr>
          <w:rFonts w:hint="default" w:ascii="Times New Roman" w:hAnsi="Times New Roman" w:eastAsia="仿宋_GB2312" w:cs="Times New Roman"/>
          <w:sz w:val="32"/>
          <w:szCs w:val="32"/>
        </w:rPr>
        <w:t>年，完成</w:t>
      </w: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rPr>
        <w:t>位专业带头人，3</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位专业负责人，</w:t>
      </w:r>
      <w:r>
        <w:rPr>
          <w:rFonts w:hint="default" w:ascii="Times New Roman" w:hAnsi="Times New Roman" w:eastAsia="仿宋_GB2312" w:cs="Times New Roman"/>
          <w:sz w:val="32"/>
          <w:szCs w:val="32"/>
        </w:rPr>
        <w:t>28</w:t>
      </w:r>
      <w:r>
        <w:rPr>
          <w:rFonts w:hint="default" w:ascii="Times New Roman" w:hAnsi="Times New Roman" w:eastAsia="仿宋_GB2312" w:cs="Times New Roman"/>
          <w:sz w:val="32"/>
          <w:szCs w:val="32"/>
        </w:rPr>
        <w:t>位企业兼职专业负责人，进行考核，并按专业负责人总量20%的比例评出</w:t>
      </w: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t>位优秀专业负责人，</w:t>
      </w: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rPr>
        <w:t>位优秀企业兼职专业负责人。</w:t>
      </w:r>
      <w:r>
        <w:rPr>
          <w:rFonts w:hint="default" w:ascii="Times New Roman" w:hAnsi="Times New Roman" w:eastAsia="仿宋_GB2312" w:cs="Times New Roman"/>
          <w:b/>
          <w:sz w:val="32"/>
          <w:szCs w:val="32"/>
        </w:rPr>
        <w:t>四是</w:t>
      </w:r>
      <w:r>
        <w:rPr>
          <w:rFonts w:hint="default" w:ascii="Times New Roman" w:hAnsi="Times New Roman" w:eastAsia="仿宋_GB2312" w:cs="Times New Roman"/>
          <w:sz w:val="32"/>
          <w:szCs w:val="32"/>
        </w:rPr>
        <w:t>加强对教师实践锻炼过程管理，督促教师在实践期间履行相关职责，及时掌握教师在企业的实践情况，全面实施《学院教师实践锻炼工作手册》制度，明确对教师实践锻炼情况进行双主体考核，为产教融合、校企合作提供制度保障，确保校企“真融”和“真合”。</w:t>
      </w:r>
      <w:r>
        <w:rPr>
          <w:rFonts w:hint="default" w:ascii="Times New Roman" w:hAnsi="Times New Roman" w:eastAsia="仿宋_GB2312" w:cs="Times New Roman"/>
          <w:sz w:val="32"/>
          <w:szCs w:val="40"/>
        </w:rPr>
        <w:t>近几年，学校克服师资短缺困难，年均安排3</w:t>
      </w:r>
      <w:r>
        <w:rPr>
          <w:rFonts w:hint="default" w:ascii="Times New Roman" w:hAnsi="Times New Roman" w:eastAsia="仿宋_GB2312" w:cs="Times New Roman"/>
          <w:sz w:val="32"/>
          <w:szCs w:val="40"/>
        </w:rPr>
        <w:t>0</w:t>
      </w:r>
      <w:r>
        <w:rPr>
          <w:rFonts w:hint="default" w:ascii="Times New Roman" w:hAnsi="Times New Roman" w:eastAsia="仿宋_GB2312" w:cs="Times New Roman"/>
          <w:sz w:val="32"/>
          <w:szCs w:val="40"/>
        </w:rPr>
        <w:t>名教师深入企业顶岗实践锻炼。</w:t>
      </w:r>
    </w:p>
    <w:p>
      <w:pPr>
        <w:spacing w:line="576"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（四）分级培养、梯队递进，注入“双师”建设充沛动力</w:t>
      </w:r>
    </w:p>
    <w:p>
      <w:pPr>
        <w:spacing w:line="576"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一是</w:t>
      </w:r>
      <w:r>
        <w:rPr>
          <w:rFonts w:hint="default" w:ascii="Times New Roman" w:hAnsi="Times New Roman" w:eastAsia="仿宋_GB2312" w:cs="Times New Roman"/>
          <w:sz w:val="32"/>
          <w:szCs w:val="32"/>
        </w:rPr>
        <w:t>实施中青年骨干教师“358人才培养工程”，增强中青年骨干教师教科研服务成效。出台《中青年骨干教师“358人才培养工程”实施办法（试行）》，选拔3名拔尖专业负责人、5名教研创新骨干、8名青年岗位能手，实行</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校企</w:t>
      </w:r>
      <w:r>
        <w:rPr>
          <w:rFonts w:hint="default" w:ascii="Times New Roman" w:hAnsi="Times New Roman" w:eastAsia="仿宋_GB2312" w:cs="Times New Roman"/>
          <w:sz w:val="32"/>
          <w:szCs w:val="32"/>
        </w:rPr>
        <w:t>双导师”</w:t>
      </w:r>
      <w:r>
        <w:rPr>
          <w:rFonts w:hint="default" w:ascii="Times New Roman" w:hAnsi="Times New Roman" w:eastAsia="仿宋_GB2312" w:cs="Times New Roman"/>
          <w:sz w:val="32"/>
          <w:szCs w:val="32"/>
        </w:rPr>
        <w:t>培养</w:t>
      </w:r>
      <w:r>
        <w:rPr>
          <w:rFonts w:hint="default" w:ascii="Times New Roman" w:hAnsi="Times New Roman" w:eastAsia="仿宋_GB2312" w:cs="Times New Roman"/>
          <w:sz w:val="32"/>
          <w:szCs w:val="32"/>
        </w:rPr>
        <w:t>机制，聘请</w:t>
      </w:r>
      <w:r>
        <w:rPr>
          <w:rFonts w:hint="default" w:ascii="Times New Roman" w:hAnsi="Times New Roman" w:eastAsia="仿宋_GB2312" w:cs="Times New Roman"/>
          <w:sz w:val="32"/>
          <w:szCs w:val="32"/>
        </w:rPr>
        <w:t>中国建筑科学研究院、青海大学、青海省建筑勘察设计研究院等单位</w:t>
      </w:r>
      <w:r>
        <w:rPr>
          <w:rFonts w:hint="default" w:ascii="Times New Roman" w:hAnsi="Times New Roman" w:eastAsia="仿宋_GB2312" w:cs="Times New Roman"/>
          <w:sz w:val="32"/>
          <w:szCs w:val="32"/>
        </w:rPr>
        <w:t>校外</w:t>
      </w:r>
      <w:r>
        <w:rPr>
          <w:rFonts w:hint="default" w:ascii="Times New Roman" w:hAnsi="Times New Roman" w:eastAsia="仿宋_GB2312" w:cs="Times New Roman"/>
          <w:sz w:val="32"/>
          <w:szCs w:val="32"/>
        </w:rPr>
        <w:t>导师16名</w:t>
      </w:r>
      <w:r>
        <w:rPr>
          <w:rFonts w:hint="default" w:ascii="Times New Roman" w:hAnsi="Times New Roman" w:eastAsia="仿宋_GB2312" w:cs="Times New Roman"/>
          <w:sz w:val="32"/>
          <w:szCs w:val="32"/>
        </w:rPr>
        <w:t>，校内导师</w:t>
      </w:r>
      <w:r>
        <w:rPr>
          <w:rFonts w:hint="default" w:ascii="Times New Roman" w:hAnsi="Times New Roman" w:eastAsia="仿宋_GB2312" w:cs="Times New Roman"/>
          <w:sz w:val="32"/>
          <w:szCs w:val="32"/>
        </w:rPr>
        <w:t>5名</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以三年为一个培养周期，开展“双师”素质提升系列培养培训，着重提升“双师型”青年教师的教育教学、岗位业务、教科研与技术服务等能力。</w:t>
      </w:r>
      <w:r>
        <w:rPr>
          <w:rFonts w:hint="default" w:ascii="Times New Roman" w:hAnsi="Times New Roman" w:eastAsia="仿宋_GB2312" w:cs="Times New Roman"/>
          <w:bCs/>
          <w:sz w:val="32"/>
          <w:szCs w:val="32"/>
        </w:rPr>
        <w:t>2022年首轮</w:t>
      </w:r>
      <w:r>
        <w:rPr>
          <w:rFonts w:hint="default" w:ascii="Times New Roman" w:hAnsi="Times New Roman" w:eastAsia="仿宋_GB2312" w:cs="Times New Roman"/>
          <w:bCs/>
          <w:sz w:val="32"/>
          <w:szCs w:val="32"/>
        </w:rPr>
        <w:t>1</w:t>
      </w:r>
      <w:r>
        <w:rPr>
          <w:rFonts w:hint="default" w:ascii="Times New Roman" w:hAnsi="Times New Roman" w:eastAsia="仿宋_GB2312" w:cs="Times New Roman"/>
          <w:bCs/>
          <w:sz w:val="32"/>
          <w:szCs w:val="32"/>
        </w:rPr>
        <w:t>6</w:t>
      </w:r>
      <w:r>
        <w:rPr>
          <w:rFonts w:hint="default" w:ascii="Times New Roman" w:hAnsi="Times New Roman" w:eastAsia="仿宋_GB2312" w:cs="Times New Roman"/>
          <w:bCs/>
          <w:sz w:val="32"/>
          <w:szCs w:val="32"/>
        </w:rPr>
        <w:t>名</w:t>
      </w:r>
      <w:r>
        <w:rPr>
          <w:rFonts w:hint="default" w:ascii="Times New Roman" w:hAnsi="Times New Roman" w:eastAsia="仿宋_GB2312" w:cs="Times New Roman"/>
          <w:bCs/>
          <w:sz w:val="32"/>
          <w:szCs w:val="32"/>
        </w:rPr>
        <w:t>“358”培养对象</w:t>
      </w:r>
      <w:r>
        <w:rPr>
          <w:rFonts w:hint="default" w:ascii="Times New Roman" w:hAnsi="Times New Roman" w:eastAsia="仿宋_GB2312" w:cs="Times New Roman"/>
          <w:bCs/>
          <w:sz w:val="32"/>
          <w:szCs w:val="32"/>
        </w:rPr>
        <w:t>全部通过</w:t>
      </w:r>
      <w:r>
        <w:rPr>
          <w:rFonts w:hint="default" w:ascii="Times New Roman" w:hAnsi="Times New Roman" w:eastAsia="仿宋_GB2312" w:cs="Times New Roman"/>
          <w:bCs/>
          <w:sz w:val="32"/>
          <w:szCs w:val="32"/>
        </w:rPr>
        <w:t>考核，</w:t>
      </w:r>
      <w:r>
        <w:rPr>
          <w:rFonts w:hint="default" w:ascii="Times New Roman" w:hAnsi="Times New Roman" w:eastAsia="仿宋_GB2312" w:cs="Times New Roman"/>
          <w:bCs/>
          <w:sz w:val="32"/>
          <w:szCs w:val="32"/>
        </w:rPr>
        <w:t>现接续启动</w:t>
      </w:r>
      <w:r>
        <w:rPr>
          <w:rFonts w:hint="default" w:ascii="Times New Roman" w:hAnsi="Times New Roman" w:eastAsia="仿宋_GB2312" w:cs="Times New Roman"/>
          <w:bCs/>
          <w:sz w:val="32"/>
          <w:szCs w:val="32"/>
        </w:rPr>
        <w:t>第二批培养对象遴选</w:t>
      </w:r>
      <w:r>
        <w:rPr>
          <w:rFonts w:hint="default" w:ascii="Times New Roman" w:hAnsi="Times New Roman" w:eastAsia="仿宋_GB2312" w:cs="Times New Roman"/>
          <w:sz w:val="32"/>
          <w:szCs w:val="32"/>
        </w:rPr>
        <w:t>。在“358人才培养工程”带动下，近几年教师年均立项教科研课题3</w:t>
      </w:r>
      <w:r>
        <w:rPr>
          <w:rFonts w:hint="default" w:ascii="Times New Roman" w:hAnsi="Times New Roman" w:eastAsia="仿宋_GB2312" w:cs="Times New Roman"/>
          <w:sz w:val="32"/>
          <w:szCs w:val="32"/>
        </w:rPr>
        <w:t>0</w:t>
      </w:r>
      <w:r>
        <w:rPr>
          <w:rFonts w:hint="default" w:ascii="Times New Roman" w:hAnsi="Times New Roman" w:eastAsia="仿宋_GB2312" w:cs="Times New Roman"/>
          <w:sz w:val="32"/>
          <w:szCs w:val="32"/>
        </w:rPr>
        <w:t>项，推动专业教师教研、科研上新台阶；</w:t>
      </w:r>
      <w:r>
        <w:rPr>
          <w:rFonts w:hint="default" w:ascii="Times New Roman" w:hAnsi="Times New Roman" w:eastAsia="仿宋_GB2312" w:cs="Times New Roman"/>
          <w:b/>
          <w:sz w:val="32"/>
          <w:szCs w:val="32"/>
        </w:rPr>
        <w:t>二是</w:t>
      </w:r>
      <w:r>
        <w:rPr>
          <w:rFonts w:hint="default" w:ascii="Times New Roman" w:hAnsi="Times New Roman" w:eastAsia="仿宋_GB2312" w:cs="Times New Roman"/>
          <w:sz w:val="32"/>
          <w:szCs w:val="32"/>
        </w:rPr>
        <w:t>实施“以老带新”工程，提升青年教师“双师”素质。实施青年教师导师制，出台《“导师制”管理办法（试行）》，发扬教师队伍建设“传帮带”传统，选拔优秀教师担任新进教师的“导师”，按照</w:t>
      </w:r>
      <w:r>
        <w:rPr>
          <w:rFonts w:hint="default" w:ascii="Times New Roman" w:hAnsi="Times New Roman" w:eastAsia="仿宋_GB2312" w:cs="Times New Roman"/>
          <w:sz w:val="32"/>
          <w:szCs w:val="32"/>
        </w:rPr>
        <w:t>承担一门课程，开展一项教学改革；对接一个合作企业，结对一名企业工程师或能工巧匠；加入一个专业群建设，参与一门精品在线开放课程或信息化教学资源建设；融入一个教学团队，共建一批示范课程或“课堂革命”典型案例；参与一项教科研项目建设，立项一项教改课题建设或推进一项技术成果转化或标准制定”</w:t>
      </w:r>
      <w:r>
        <w:rPr>
          <w:rFonts w:hint="default" w:ascii="Times New Roman" w:hAnsi="Times New Roman" w:eastAsia="仿宋_GB2312" w:cs="Times New Roman"/>
          <w:sz w:val="32"/>
          <w:szCs w:val="32"/>
        </w:rPr>
        <w:t>的</w:t>
      </w:r>
      <w:r>
        <w:rPr>
          <w:rFonts w:hint="default" w:ascii="Times New Roman" w:hAnsi="Times New Roman" w:eastAsia="仿宋_GB2312" w:cs="Times New Roman"/>
          <w:sz w:val="32"/>
          <w:szCs w:val="32"/>
        </w:rPr>
        <w:t>“五个一”目标体系实施阶梯式培养</w:t>
      </w:r>
      <w:r>
        <w:rPr>
          <w:rFonts w:hint="default" w:ascii="Times New Roman" w:hAnsi="Times New Roman" w:eastAsia="仿宋_GB2312" w:cs="Times New Roman"/>
          <w:sz w:val="32"/>
          <w:szCs w:val="32"/>
        </w:rPr>
        <w:t>。</w:t>
      </w:r>
    </w:p>
    <w:p>
      <w:pPr>
        <w:spacing w:line="576"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三、建设成效</w:t>
      </w:r>
    </w:p>
    <w:p>
      <w:pPr>
        <w:spacing w:line="576" w:lineRule="exact"/>
        <w:ind w:firstLine="640" w:firstLineChars="200"/>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sz w:val="32"/>
          <w:szCs w:val="32"/>
        </w:rPr>
        <w:t>通过建设，</w:t>
      </w:r>
      <w:r>
        <w:rPr>
          <w:rFonts w:hint="default" w:ascii="Times New Roman" w:hAnsi="Times New Roman" w:eastAsia="仿宋_GB2312" w:cs="Times New Roman"/>
          <w:b/>
          <w:sz w:val="32"/>
          <w:szCs w:val="32"/>
        </w:rPr>
        <w:t>一是</w:t>
      </w:r>
      <w:r>
        <w:rPr>
          <w:rFonts w:hint="default" w:ascii="Times New Roman" w:hAnsi="Times New Roman" w:eastAsia="仿宋_GB2312" w:cs="Times New Roman"/>
          <w:sz w:val="32"/>
          <w:szCs w:val="32"/>
        </w:rPr>
        <w:t>建成</w:t>
      </w:r>
      <w:r>
        <w:rPr>
          <w:rFonts w:hint="default" w:ascii="Times New Roman" w:hAnsi="Times New Roman" w:eastAsia="仿宋_GB2312" w:cs="Times New Roman"/>
          <w:bCs/>
          <w:sz w:val="32"/>
          <w:szCs w:val="32"/>
        </w:rPr>
        <w:t>省内高职院校唯一的黄大年式教师团队</w:t>
      </w:r>
      <w:r>
        <w:rPr>
          <w:rFonts w:hint="default" w:ascii="Times New Roman" w:hAnsi="Times New Roman" w:eastAsia="仿宋_GB2312" w:cs="Times New Roman"/>
          <w:bCs/>
          <w:sz w:val="32"/>
          <w:szCs w:val="32"/>
        </w:rPr>
        <w:t>1个</w:t>
      </w:r>
      <w:r>
        <w:rPr>
          <w:rFonts w:hint="default" w:ascii="Times New Roman" w:hAnsi="Times New Roman" w:eastAsia="仿宋_GB2312" w:cs="Times New Roman"/>
          <w:bCs/>
          <w:sz w:val="32"/>
          <w:szCs w:val="32"/>
        </w:rPr>
        <w:t>，</w:t>
      </w:r>
      <w:r>
        <w:rPr>
          <w:rFonts w:hint="default" w:ascii="Times New Roman" w:hAnsi="Times New Roman" w:eastAsia="仿宋_GB2312" w:cs="Times New Roman"/>
          <w:sz w:val="32"/>
          <w:szCs w:val="32"/>
        </w:rPr>
        <w:t>省级教学团队</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rPr>
        <w:t>个，</w:t>
      </w:r>
      <w:r>
        <w:rPr>
          <w:rFonts w:hint="default" w:ascii="Times New Roman" w:hAnsi="Times New Roman" w:eastAsia="仿宋_GB2312" w:cs="Times New Roman"/>
          <w:sz w:val="32"/>
          <w:szCs w:val="32"/>
        </w:rPr>
        <w:t>省级重点专业（群）“双师”素质教师比例达到90%以上</w:t>
      </w:r>
      <w:r>
        <w:rPr>
          <w:rFonts w:hint="default" w:ascii="Times New Roman" w:hAnsi="Times New Roman" w:eastAsia="仿宋_GB2312" w:cs="Times New Roman"/>
          <w:sz w:val="32"/>
          <w:szCs w:val="32"/>
        </w:rPr>
        <w:t>，</w:t>
      </w:r>
      <w:r>
        <w:rPr>
          <w:rFonts w:hint="default" w:ascii="Times New Roman" w:hAnsi="Times New Roman" w:eastAsia="仿宋_GB2312" w:cs="Times New Roman"/>
          <w:bCs/>
          <w:sz w:val="32"/>
          <w:szCs w:val="32"/>
        </w:rPr>
        <w:t>全国先进工</w:t>
      </w:r>
      <w:r>
        <w:rPr>
          <w:rFonts w:hint="default" w:ascii="Times New Roman" w:hAnsi="Times New Roman" w:eastAsia="仿宋_GB2312" w:cs="Times New Roman"/>
          <w:sz w:val="32"/>
          <w:szCs w:val="32"/>
        </w:rPr>
        <w:t>作者1名、</w:t>
      </w:r>
      <w:r>
        <w:rPr>
          <w:rFonts w:hint="default" w:ascii="Times New Roman" w:hAnsi="Times New Roman" w:eastAsia="仿宋_GB2312" w:cs="Times New Roman"/>
          <w:sz w:val="32"/>
          <w:szCs w:val="32"/>
        </w:rPr>
        <w:t>国家技能人才培育突出贡献个人1名、</w:t>
      </w:r>
      <w:r>
        <w:rPr>
          <w:rFonts w:hint="default" w:ascii="Times New Roman" w:hAnsi="Times New Roman" w:eastAsia="仿宋_GB2312" w:cs="Times New Roman"/>
          <w:sz w:val="32"/>
          <w:szCs w:val="32"/>
        </w:rPr>
        <w:t>全国住建系统先进工作者1</w:t>
      </w:r>
      <w:r>
        <w:rPr>
          <w:rFonts w:hint="default" w:ascii="Times New Roman" w:hAnsi="Times New Roman" w:eastAsia="仿宋_GB2312" w:cs="Times New Roman"/>
          <w:sz w:val="32"/>
          <w:szCs w:val="32"/>
        </w:rPr>
        <w:t>名</w:t>
      </w:r>
      <w:r>
        <w:rPr>
          <w:rFonts w:hint="default" w:ascii="Times New Roman" w:hAnsi="Times New Roman" w:eastAsia="仿宋_GB2312" w:cs="Times New Roman"/>
          <w:sz w:val="32"/>
          <w:szCs w:val="32"/>
        </w:rPr>
        <w:t>，青海省杰</w:t>
      </w:r>
      <w:r>
        <w:rPr>
          <w:rFonts w:hint="default" w:ascii="Times New Roman" w:hAnsi="Times New Roman" w:eastAsia="仿宋_GB2312" w:cs="Times New Roman"/>
          <w:bCs/>
          <w:sz w:val="32"/>
          <w:szCs w:val="32"/>
        </w:rPr>
        <w:t>出校长1名</w:t>
      </w:r>
      <w:r>
        <w:rPr>
          <w:rFonts w:hint="default" w:ascii="Times New Roman" w:hAnsi="Times New Roman" w:eastAsia="仿宋_GB2312" w:cs="Times New Roman"/>
          <w:color w:val="000000"/>
          <w:sz w:val="32"/>
          <w:szCs w:val="32"/>
        </w:rPr>
        <w:t>青海省昆仑英才·高端创新创业人才项目“领军人才”1人、“教学名师”2人</w:t>
      </w:r>
      <w:r>
        <w:rPr>
          <w:rFonts w:hint="default" w:ascii="Times New Roman" w:hAnsi="Times New Roman" w:eastAsia="仿宋_GB2312" w:cs="Times New Roman"/>
          <w:bCs/>
          <w:sz w:val="32"/>
          <w:szCs w:val="32"/>
        </w:rPr>
        <w:t>，</w:t>
      </w:r>
      <w:r>
        <w:rPr>
          <w:rFonts w:hint="default" w:ascii="Times New Roman" w:hAnsi="Times New Roman" w:eastAsia="仿宋_GB2312" w:cs="Times New Roman"/>
          <w:bCs/>
          <w:sz w:val="32"/>
          <w:szCs w:val="32"/>
        </w:rPr>
        <w:t>省级优秀专家1人、优秀专业技术人才2人</w:t>
      </w:r>
      <w:r>
        <w:rPr>
          <w:rFonts w:hint="default" w:ascii="Times New Roman" w:hAnsi="Times New Roman" w:eastAsia="仿宋_GB2312" w:cs="Times New Roman"/>
          <w:bCs/>
          <w:sz w:val="32"/>
          <w:szCs w:val="32"/>
        </w:rPr>
        <w:t>，二级教授1名。</w:t>
      </w:r>
      <w:r>
        <w:rPr>
          <w:rFonts w:hint="default" w:ascii="Times New Roman" w:hAnsi="Times New Roman" w:eastAsia="仿宋_GB2312" w:cs="Times New Roman"/>
          <w:b/>
          <w:bCs/>
          <w:sz w:val="32"/>
          <w:szCs w:val="32"/>
        </w:rPr>
        <w:t>二是</w:t>
      </w:r>
      <w:r>
        <w:rPr>
          <w:rFonts w:hint="default" w:ascii="Times New Roman" w:hAnsi="Times New Roman" w:eastAsia="仿宋_GB2312" w:cs="Times New Roman"/>
          <w:sz w:val="32"/>
          <w:szCs w:val="32"/>
        </w:rPr>
        <w:t>教师</w:t>
      </w:r>
      <w:r>
        <w:rPr>
          <w:rFonts w:hint="default" w:ascii="Times New Roman" w:hAnsi="Times New Roman" w:eastAsia="仿宋_GB2312" w:cs="Times New Roman"/>
          <w:sz w:val="32"/>
          <w:szCs w:val="32"/>
        </w:rPr>
        <w:t>先后承担12项省部级科研课题，主编完成住建部《农村地区被动式太阳能暖房建设技术导则及图集》，主编及参编地方技术标准21项，获得10项专利和5件软件著作权。《太阳能建筑关键技术研究与标准体系构建》获青海省科技进步三等奖。</w:t>
      </w:r>
      <w:r>
        <w:rPr>
          <w:rFonts w:hint="default" w:ascii="Times New Roman" w:hAnsi="Times New Roman" w:eastAsia="仿宋_GB2312" w:cs="Times New Roman"/>
          <w:bCs/>
          <w:sz w:val="32"/>
          <w:szCs w:val="32"/>
        </w:rPr>
        <w:t>培育《青藏高原民族地区现代学徒制的研究与实践》等省级教学成果奖8项，培养城乡规划等院级教学创新团队5个。</w:t>
      </w:r>
      <w:r>
        <w:rPr>
          <w:rFonts w:hint="default" w:ascii="Times New Roman" w:hAnsi="Times New Roman" w:eastAsia="仿宋_GB2312" w:cs="Times New Roman"/>
          <w:color w:val="000000"/>
          <w:sz w:val="32"/>
          <w:szCs w:val="32"/>
        </w:rPr>
        <w:t>学生团队获省级及以上技能大赛奖项95项，其中国家级一类赛事获奖7项</w:t>
      </w:r>
      <w:r>
        <w:rPr>
          <w:rFonts w:hint="default" w:ascii="Times New Roman" w:hAnsi="Times New Roman" w:eastAsia="仿宋_GB2312" w:cs="Times New Roman"/>
          <w:sz w:val="32"/>
          <w:szCs w:val="32"/>
        </w:rPr>
        <w:t>（含全国职业院校技能大赛三等奖4项）</w:t>
      </w:r>
      <w:r>
        <w:rPr>
          <w:rFonts w:hint="default" w:ascii="Times New Roman" w:hAnsi="Times New Roman" w:eastAsia="仿宋_GB2312" w:cs="Times New Roman"/>
          <w:sz w:val="32"/>
          <w:szCs w:val="32"/>
        </w:rPr>
        <w:t>。</w:t>
      </w:r>
      <w:r>
        <w:rPr>
          <w:rFonts w:hint="default" w:ascii="Times New Roman" w:hAnsi="Times New Roman" w:eastAsia="仿宋_GB2312" w:cs="Times New Roman"/>
          <w:b/>
          <w:bCs/>
          <w:sz w:val="32"/>
          <w:szCs w:val="32"/>
        </w:rPr>
        <w:t>三是</w:t>
      </w:r>
      <w:r>
        <w:rPr>
          <w:rFonts w:hint="default" w:ascii="Times New Roman" w:hAnsi="Times New Roman" w:eastAsia="仿宋_GB2312" w:cs="Times New Roman"/>
          <w:color w:val="000000" w:themeColor="text1"/>
          <w:sz w:val="32"/>
          <w:szCs w:val="32"/>
        </w:rPr>
        <w:t>发挥专业优势加大社会服务力度，每年开展二级建造师等11类人员及9个工种技能培训1.5万人次以上，技术扶贫培训达3300余人次。组建团队深入大通等5个县开展乡村建设技术服务，助力乡村振兴。完成果洛震后应急评估建筑面积130万平方米，为震后重建提供科学依据。</w:t>
      </w:r>
    </w:p>
    <w:p>
      <w:pPr>
        <w:spacing w:line="576"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四、展望未来</w:t>
      </w:r>
    </w:p>
    <w:p>
      <w:pPr>
        <w:spacing w:line="576" w:lineRule="exact"/>
        <w:ind w:firstLine="640" w:firstLineChars="200"/>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学院将持续深入学习贯彻党的二十大精神，全面落实新修订的职业教育法，以省级“双</w:t>
      </w:r>
      <w:bookmarkStart w:id="0" w:name="_GoBack"/>
      <w:bookmarkEnd w:id="0"/>
      <w:r>
        <w:rPr>
          <w:rFonts w:hint="default" w:ascii="Times New Roman" w:hAnsi="Times New Roman" w:eastAsia="仿宋_GB2312" w:cs="Times New Roman"/>
          <w:color w:val="000000" w:themeColor="text1"/>
          <w:sz w:val="32"/>
          <w:szCs w:val="32"/>
        </w:rPr>
        <w:t>高”建设为载体，持续创新教师发展和评价模式，</w:t>
      </w:r>
      <w:r>
        <w:rPr>
          <w:rFonts w:hint="default" w:ascii="Times New Roman" w:hAnsi="Times New Roman" w:eastAsia="仿宋_GB2312" w:cs="Times New Roman"/>
          <w:color w:val="000000" w:themeColor="text1"/>
          <w:sz w:val="32"/>
          <w:szCs w:val="32"/>
        </w:rPr>
        <w:t>进一步推进人才评价改革，不断增强职业教育服务地区经济社会发展的适应性，</w:t>
      </w:r>
      <w:r>
        <w:rPr>
          <w:rFonts w:hint="default" w:ascii="Times New Roman" w:hAnsi="Times New Roman" w:eastAsia="仿宋_GB2312" w:cs="Times New Roman"/>
          <w:color w:val="000000" w:themeColor="text1"/>
          <w:sz w:val="32"/>
          <w:szCs w:val="32"/>
        </w:rPr>
        <w:t>为构建类型特色鲜明的高职院校教师发展体系贡献“建院智慧”。</w:t>
      </w:r>
    </w:p>
    <w:p>
      <w:pPr>
        <w:spacing w:line="576" w:lineRule="exact"/>
        <w:rPr>
          <w:rFonts w:hint="default" w:ascii="Times New Roman" w:hAnsi="Times New Roman" w:eastAsia="仿宋_GB2312" w:cs="Times New Roman"/>
          <w:kern w:val="0"/>
          <w:szCs w:val="21"/>
        </w:rPr>
      </w:pPr>
    </w:p>
    <w:sectPr>
      <w:footerReference r:id="rId3" w:type="default"/>
      <w:pgSz w:w="11906" w:h="16838"/>
      <w:pgMar w:top="1418" w:right="1418" w:bottom="1418" w:left="141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panose1 w:val="02000000000000000000"/>
    <w:charset w:val="86"/>
    <w:family w:val="auto"/>
    <w:pitch w:val="default"/>
    <w:sig w:usb0="A00002BF" w:usb1="38CF7CFA" w:usb2="00082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sdt>
                <w:sdtPr>
                  <w:id w:val="2012617"/>
                </w:sdtPr>
                <w:sdtEndPr>
                  <w:rPr>
                    <w:rFonts w:hint="eastAsia" w:asciiTheme="minorEastAsia" w:hAnsiTheme="minorEastAsia" w:cstheme="minorEastAsia"/>
                    <w:sz w:val="28"/>
                    <w:szCs w:val="28"/>
                  </w:rPr>
                </w:sdtEndPr>
                <w:sdtContent>
                  <w:p>
                    <w:pPr>
                      <w:pStyle w:val="5"/>
                      <w:jc w:val="center"/>
                      <w:rPr>
                        <w:rFonts w:asciiTheme="minorEastAsia" w:hAnsiTheme="minorEastAsia" w:cstheme="minorEastAsia"/>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lang w:val="zh-CN"/>
                      </w:rPr>
                      <w:t>-</w:t>
                    </w:r>
                    <w:r>
                      <w:rPr>
                        <w:rFonts w:asciiTheme="minorEastAsia" w:hAnsiTheme="minorEastAsia" w:cstheme="minorEastAsia"/>
                        <w:sz w:val="28"/>
                        <w:szCs w:val="28"/>
                      </w:rPr>
                      <w:t xml:space="preserve"> 5 -</w:t>
                    </w:r>
                    <w:r>
                      <w:rPr>
                        <w:rFonts w:hint="eastAsia" w:asciiTheme="minorEastAsia" w:hAnsiTheme="minorEastAsia" w:cstheme="minorEastAsia"/>
                        <w:sz w:val="28"/>
                        <w:szCs w:val="28"/>
                        <w:lang w:val="zh-CN"/>
                      </w:rPr>
                      <w:fldChar w:fldCharType="end"/>
                    </w:r>
                  </w:p>
                </w:sdtContent>
              </w:sdt>
              <w:p/>
            </w:txbxContent>
          </v:textbox>
        </v:shape>
      </w:pic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AxNzdhMDFhY2RlNmVhMDE1Mzc4NDFhNTQxYjdjNzQifQ=="/>
  </w:docVars>
  <w:rsids>
    <w:rsidRoot w:val="00DD284E"/>
    <w:rsid w:val="00027DC4"/>
    <w:rsid w:val="000370D1"/>
    <w:rsid w:val="00042051"/>
    <w:rsid w:val="00043EA8"/>
    <w:rsid w:val="00065A37"/>
    <w:rsid w:val="000943BE"/>
    <w:rsid w:val="000B4D43"/>
    <w:rsid w:val="000D3BEC"/>
    <w:rsid w:val="000E6C81"/>
    <w:rsid w:val="00123ED8"/>
    <w:rsid w:val="00126747"/>
    <w:rsid w:val="00150C5C"/>
    <w:rsid w:val="00154F58"/>
    <w:rsid w:val="001953E3"/>
    <w:rsid w:val="001A0690"/>
    <w:rsid w:val="001A11D9"/>
    <w:rsid w:val="001D2CF0"/>
    <w:rsid w:val="001D7B69"/>
    <w:rsid w:val="00200A2C"/>
    <w:rsid w:val="0020747B"/>
    <w:rsid w:val="00234D1D"/>
    <w:rsid w:val="00252980"/>
    <w:rsid w:val="00254F84"/>
    <w:rsid w:val="002600FD"/>
    <w:rsid w:val="00260240"/>
    <w:rsid w:val="002A275E"/>
    <w:rsid w:val="002B7776"/>
    <w:rsid w:val="00315F92"/>
    <w:rsid w:val="00317463"/>
    <w:rsid w:val="003375FE"/>
    <w:rsid w:val="00341E2D"/>
    <w:rsid w:val="00345FBD"/>
    <w:rsid w:val="00370C54"/>
    <w:rsid w:val="003770F3"/>
    <w:rsid w:val="0038005B"/>
    <w:rsid w:val="003A3296"/>
    <w:rsid w:val="003A4EB4"/>
    <w:rsid w:val="003B18C0"/>
    <w:rsid w:val="003D7E92"/>
    <w:rsid w:val="003E3673"/>
    <w:rsid w:val="003F4DE3"/>
    <w:rsid w:val="003F5ADF"/>
    <w:rsid w:val="004043BD"/>
    <w:rsid w:val="00410AD3"/>
    <w:rsid w:val="00420005"/>
    <w:rsid w:val="00423632"/>
    <w:rsid w:val="00424CDF"/>
    <w:rsid w:val="00447BF6"/>
    <w:rsid w:val="004B1C1F"/>
    <w:rsid w:val="004B2E87"/>
    <w:rsid w:val="004D082E"/>
    <w:rsid w:val="005042CF"/>
    <w:rsid w:val="00505398"/>
    <w:rsid w:val="0052593B"/>
    <w:rsid w:val="005652E2"/>
    <w:rsid w:val="0058339F"/>
    <w:rsid w:val="005A7801"/>
    <w:rsid w:val="005E42AF"/>
    <w:rsid w:val="006129BA"/>
    <w:rsid w:val="006367A8"/>
    <w:rsid w:val="006757E6"/>
    <w:rsid w:val="006878D9"/>
    <w:rsid w:val="006A2905"/>
    <w:rsid w:val="006B6E27"/>
    <w:rsid w:val="006C129C"/>
    <w:rsid w:val="006C7580"/>
    <w:rsid w:val="006F15A8"/>
    <w:rsid w:val="007067A4"/>
    <w:rsid w:val="00710FE7"/>
    <w:rsid w:val="0071483D"/>
    <w:rsid w:val="00783C10"/>
    <w:rsid w:val="007B4565"/>
    <w:rsid w:val="007C3F48"/>
    <w:rsid w:val="007C5C07"/>
    <w:rsid w:val="007F434D"/>
    <w:rsid w:val="00821D8A"/>
    <w:rsid w:val="0083616F"/>
    <w:rsid w:val="00856065"/>
    <w:rsid w:val="008917A5"/>
    <w:rsid w:val="008E3DA4"/>
    <w:rsid w:val="008F5042"/>
    <w:rsid w:val="00907BDA"/>
    <w:rsid w:val="00910FC9"/>
    <w:rsid w:val="00960E9E"/>
    <w:rsid w:val="00981EC2"/>
    <w:rsid w:val="00996F78"/>
    <w:rsid w:val="009B0F99"/>
    <w:rsid w:val="009E75BC"/>
    <w:rsid w:val="00A1147E"/>
    <w:rsid w:val="00A22B6E"/>
    <w:rsid w:val="00A64A05"/>
    <w:rsid w:val="00A66F69"/>
    <w:rsid w:val="00AB0EF2"/>
    <w:rsid w:val="00AE3EA6"/>
    <w:rsid w:val="00B1448E"/>
    <w:rsid w:val="00B30FB8"/>
    <w:rsid w:val="00B31AA2"/>
    <w:rsid w:val="00B46EF5"/>
    <w:rsid w:val="00B50CDE"/>
    <w:rsid w:val="00B60A48"/>
    <w:rsid w:val="00B64E60"/>
    <w:rsid w:val="00B829FA"/>
    <w:rsid w:val="00B84CE9"/>
    <w:rsid w:val="00B862BA"/>
    <w:rsid w:val="00BB3553"/>
    <w:rsid w:val="00C17435"/>
    <w:rsid w:val="00C22922"/>
    <w:rsid w:val="00C31FBF"/>
    <w:rsid w:val="00C3393F"/>
    <w:rsid w:val="00C42384"/>
    <w:rsid w:val="00C63907"/>
    <w:rsid w:val="00C63C52"/>
    <w:rsid w:val="00CA1682"/>
    <w:rsid w:val="00CA370E"/>
    <w:rsid w:val="00CC433E"/>
    <w:rsid w:val="00CD70FA"/>
    <w:rsid w:val="00CF6948"/>
    <w:rsid w:val="00D3435D"/>
    <w:rsid w:val="00D53771"/>
    <w:rsid w:val="00D64035"/>
    <w:rsid w:val="00D83E32"/>
    <w:rsid w:val="00D93BCD"/>
    <w:rsid w:val="00DB0214"/>
    <w:rsid w:val="00DB5892"/>
    <w:rsid w:val="00DD284E"/>
    <w:rsid w:val="00DF7941"/>
    <w:rsid w:val="00E02FF5"/>
    <w:rsid w:val="00E15D32"/>
    <w:rsid w:val="00E30E53"/>
    <w:rsid w:val="00E369E3"/>
    <w:rsid w:val="00E66D1D"/>
    <w:rsid w:val="00ED43DC"/>
    <w:rsid w:val="00ED5401"/>
    <w:rsid w:val="00EF7645"/>
    <w:rsid w:val="00F165EB"/>
    <w:rsid w:val="00F330E8"/>
    <w:rsid w:val="00F475F4"/>
    <w:rsid w:val="00F6385C"/>
    <w:rsid w:val="00F65BBB"/>
    <w:rsid w:val="00F723FA"/>
    <w:rsid w:val="00F72B1A"/>
    <w:rsid w:val="00F93C92"/>
    <w:rsid w:val="00FA06FB"/>
    <w:rsid w:val="00FA4B34"/>
    <w:rsid w:val="00FB7BFB"/>
    <w:rsid w:val="00FD1825"/>
    <w:rsid w:val="162A005E"/>
    <w:rsid w:val="1D5449A3"/>
    <w:rsid w:val="74CE3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Body Text First Indent 21"/>
    <w:basedOn w:val="3"/>
    <w:qFormat/>
    <w:uiPriority w:val="0"/>
    <w:pPr>
      <w:ind w:left="200" w:firstLine="420" w:firstLineChars="200"/>
    </w:pPr>
    <w:rPr>
      <w:rFonts w:eastAsia="仿宋"/>
      <w:szCs w:val="32"/>
    </w:rPr>
  </w:style>
  <w:style w:type="paragraph" w:customStyle="1" w:styleId="3">
    <w:name w:val="Body Text Indent1"/>
    <w:basedOn w:val="1"/>
    <w:next w:val="2"/>
    <w:qFormat/>
    <w:uiPriority w:val="0"/>
    <w:pPr>
      <w:spacing w:after="120"/>
      <w:ind w:left="420" w:leftChars="200"/>
    </w:pPr>
  </w:style>
  <w:style w:type="paragraph" w:styleId="4">
    <w:name w:val="Balloon Text"/>
    <w:basedOn w:val="1"/>
    <w:link w:val="15"/>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22"/>
    <w:rPr>
      <w:b/>
      <w:bCs/>
    </w:rPr>
  </w:style>
  <w:style w:type="paragraph" w:customStyle="1" w:styleId="10">
    <w:name w:val="Char Char2 Char Char1 Char Char"/>
    <w:basedOn w:val="1"/>
    <w:qFormat/>
    <w:uiPriority w:val="0"/>
    <w:rPr>
      <w:rFonts w:ascii="仿宋_GB2312" w:hAnsi="Times New Roman" w:eastAsia="仿宋_GB2312" w:cs="Times New Roman"/>
      <w:sz w:val="30"/>
      <w:szCs w:val="20"/>
    </w:rPr>
  </w:style>
  <w:style w:type="paragraph" w:styleId="11">
    <w:name w:val="List Paragraph"/>
    <w:basedOn w:val="1"/>
    <w:qFormat/>
    <w:uiPriority w:val="34"/>
    <w:pPr>
      <w:ind w:firstLine="420" w:firstLineChars="200"/>
    </w:pPr>
    <w:rPr>
      <w:rFonts w:ascii="Times New Roman" w:hAnsi="Times New Roman" w:eastAsia="宋体" w:cs="Times New Roman"/>
    </w:rPr>
  </w:style>
  <w:style w:type="paragraph" w:customStyle="1" w:styleId="12">
    <w:name w:val="Char Char2 Char Char1 Char Char1"/>
    <w:basedOn w:val="1"/>
    <w:uiPriority w:val="0"/>
    <w:rPr>
      <w:rFonts w:ascii="仿宋_GB2312" w:hAnsi="Times New Roman" w:eastAsia="仿宋_GB2312" w:cs="Times New Roman"/>
      <w:sz w:val="30"/>
      <w:szCs w:val="20"/>
    </w:rPr>
  </w:style>
  <w:style w:type="character" w:customStyle="1" w:styleId="13">
    <w:name w:val="页眉 Char"/>
    <w:basedOn w:val="8"/>
    <w:link w:val="6"/>
    <w:qFormat/>
    <w:uiPriority w:val="99"/>
    <w:rPr>
      <w:sz w:val="18"/>
      <w:szCs w:val="18"/>
    </w:rPr>
  </w:style>
  <w:style w:type="character" w:customStyle="1" w:styleId="14">
    <w:name w:val="页脚 Char"/>
    <w:basedOn w:val="8"/>
    <w:link w:val="5"/>
    <w:qFormat/>
    <w:uiPriority w:val="99"/>
    <w:rPr>
      <w:sz w:val="18"/>
      <w:szCs w:val="18"/>
    </w:rPr>
  </w:style>
  <w:style w:type="character" w:customStyle="1" w:styleId="15">
    <w:name w:val="批注框文本 Char"/>
    <w:basedOn w:val="8"/>
    <w:link w:val="4"/>
    <w:semiHidden/>
    <w:uiPriority w:val="99"/>
    <w:rPr>
      <w:sz w:val="18"/>
      <w:szCs w:val="18"/>
    </w:rPr>
  </w:style>
  <w:style w:type="paragraph" w:customStyle="1" w:styleId="16">
    <w:name w:val="p0"/>
    <w:basedOn w:val="1"/>
    <w:qFormat/>
    <w:uiPriority w:val="0"/>
    <w:pPr>
      <w:widowControl/>
    </w:pPr>
    <w:rPr>
      <w:rFonts w:ascii="Times New Roman" w:hAnsi="Times New Roman" w:eastAsia="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Pages>
  <Words>3274</Words>
  <Characters>3336</Characters>
  <Lines>23</Lines>
  <Paragraphs>6</Paragraphs>
  <TotalTime>33</TotalTime>
  <ScaleCrop>false</ScaleCrop>
  <LinksUpToDate>false</LinksUpToDate>
  <CharactersWithSpaces>3337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2023-01-12T06:10:00Z</dcterms:created>
  <dc:creator>lenovo</dc:creator>
  <cp:lastModifiedBy>YW</cp:lastModifiedBy>
  <dcterms:modified xsi:type="dcterms:W3CDTF">2023-01-12T09:55:15Z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ECFCB9A2DEE842E19B810C4D30333A02</vt:lpwstr>
  </property>
</Properties>
</file>