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ECE5C" w14:textId="77777777" w:rsidR="00970726" w:rsidRDefault="00970726">
      <w:pPr>
        <w:tabs>
          <w:tab w:val="left" w:pos="540"/>
        </w:tabs>
        <w:spacing w:line="520" w:lineRule="exact"/>
        <w:jc w:val="center"/>
        <w:rPr>
          <w:rFonts w:ascii="华文中宋" w:eastAsia="华文中宋" w:hAnsi="华文中宋" w:cs="宋体"/>
          <w:b/>
          <w:bCs/>
          <w:sz w:val="32"/>
          <w:szCs w:val="32"/>
        </w:rPr>
      </w:pPr>
    </w:p>
    <w:p w14:paraId="188E134C" w14:textId="77777777" w:rsidR="00E166F4" w:rsidRPr="00970726" w:rsidRDefault="00000000">
      <w:pPr>
        <w:tabs>
          <w:tab w:val="left" w:pos="540"/>
        </w:tabs>
        <w:spacing w:line="520" w:lineRule="exact"/>
        <w:jc w:val="center"/>
        <w:rPr>
          <w:rFonts w:ascii="华文中宋" w:eastAsia="华文中宋" w:hAnsi="华文中宋" w:cs="宋体"/>
          <w:b/>
          <w:bCs/>
          <w:sz w:val="32"/>
          <w:szCs w:val="32"/>
        </w:rPr>
      </w:pPr>
      <w:r w:rsidRPr="00970726">
        <w:rPr>
          <w:rFonts w:ascii="华文中宋" w:eastAsia="华文中宋" w:hAnsi="华文中宋" w:cs="宋体" w:hint="eastAsia"/>
          <w:b/>
          <w:bCs/>
          <w:sz w:val="32"/>
          <w:szCs w:val="32"/>
        </w:rPr>
        <w:t>模块化课程  行动</w:t>
      </w:r>
      <w:proofErr w:type="gramStart"/>
      <w:r w:rsidRPr="00970726">
        <w:rPr>
          <w:rFonts w:ascii="华文中宋" w:eastAsia="华文中宋" w:hAnsi="华文中宋" w:cs="宋体" w:hint="eastAsia"/>
          <w:b/>
          <w:bCs/>
          <w:sz w:val="32"/>
          <w:szCs w:val="32"/>
        </w:rPr>
        <w:t>式参与</w:t>
      </w:r>
      <w:proofErr w:type="gramEnd"/>
      <w:r w:rsidRPr="00970726">
        <w:rPr>
          <w:rFonts w:ascii="华文中宋" w:eastAsia="华文中宋" w:hAnsi="华文中宋" w:cs="宋体" w:hint="eastAsia"/>
          <w:b/>
          <w:bCs/>
          <w:sz w:val="32"/>
          <w:szCs w:val="32"/>
        </w:rPr>
        <w:t xml:space="preserve">  体验中成长</w:t>
      </w:r>
    </w:p>
    <w:p w14:paraId="1D871996" w14:textId="77777777" w:rsidR="00E166F4" w:rsidRPr="00FD58D5" w:rsidRDefault="00000000">
      <w:pPr>
        <w:tabs>
          <w:tab w:val="left" w:pos="540"/>
        </w:tabs>
        <w:spacing w:line="520" w:lineRule="exact"/>
        <w:jc w:val="center"/>
        <w:rPr>
          <w:rFonts w:ascii="仿宋" w:eastAsia="仿宋" w:hAnsi="仿宋" w:cs="仿宋"/>
          <w:sz w:val="28"/>
          <w:szCs w:val="28"/>
        </w:rPr>
      </w:pPr>
      <w:r w:rsidRPr="00FD58D5">
        <w:rPr>
          <w:rFonts w:ascii="仿宋" w:eastAsia="仿宋" w:hAnsi="仿宋" w:cs="仿宋" w:hint="eastAsia"/>
          <w:sz w:val="28"/>
          <w:szCs w:val="28"/>
        </w:rPr>
        <w:t>——高职院校新入职教师培训的江苏实践</w:t>
      </w:r>
    </w:p>
    <w:p w14:paraId="62ED5433" w14:textId="68F166CB" w:rsidR="00E166F4" w:rsidRPr="00875B63" w:rsidRDefault="00D919FB" w:rsidP="00875B63">
      <w:pPr>
        <w:tabs>
          <w:tab w:val="left" w:pos="540"/>
        </w:tabs>
        <w:spacing w:line="560" w:lineRule="exact"/>
        <w:jc w:val="center"/>
        <w:rPr>
          <w:rFonts w:ascii="仿宋" w:eastAsia="仿宋" w:hAnsi="仿宋" w:cs="仿宋"/>
          <w:sz w:val="28"/>
          <w:szCs w:val="28"/>
        </w:rPr>
      </w:pPr>
      <w:r>
        <w:rPr>
          <w:rFonts w:ascii="仿宋" w:eastAsia="仿宋" w:hAnsi="仿宋" w:cs="仿宋" w:hint="eastAsia"/>
          <w:sz w:val="28"/>
          <w:szCs w:val="28"/>
        </w:rPr>
        <w:t>（</w:t>
      </w:r>
      <w:r w:rsidRPr="00875B63">
        <w:rPr>
          <w:rFonts w:ascii="仿宋" w:eastAsia="仿宋" w:hAnsi="仿宋" w:cs="仿宋" w:hint="eastAsia"/>
          <w:sz w:val="28"/>
          <w:szCs w:val="28"/>
        </w:rPr>
        <w:t>江苏省高等职业教育教师培训中心</w:t>
      </w:r>
      <w:r>
        <w:rPr>
          <w:rFonts w:ascii="仿宋" w:eastAsia="仿宋" w:hAnsi="仿宋" w:cs="仿宋" w:hint="eastAsia"/>
          <w:sz w:val="28"/>
          <w:szCs w:val="28"/>
        </w:rPr>
        <w:t>）</w:t>
      </w:r>
    </w:p>
    <w:p w14:paraId="1927719B" w14:textId="77777777" w:rsidR="00970726" w:rsidRDefault="00970726">
      <w:pPr>
        <w:tabs>
          <w:tab w:val="left" w:pos="540"/>
        </w:tabs>
        <w:spacing w:beforeLines="50" w:before="156" w:line="520" w:lineRule="exact"/>
        <w:jc w:val="center"/>
        <w:rPr>
          <w:rFonts w:ascii="黑体" w:eastAsia="黑体" w:hAnsi="黑体" w:cs="黑体"/>
          <w:sz w:val="30"/>
          <w:szCs w:val="30"/>
        </w:rPr>
      </w:pPr>
    </w:p>
    <w:p w14:paraId="45C41805" w14:textId="77777777" w:rsidR="00E166F4" w:rsidRDefault="00000000" w:rsidP="00D00CA5">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了让高职院校新入职教师能够熟悉职业教育理论和实践，站稳高职讲台“上好第一课”，江苏省从2016年开始实施《高职院校新教师岗前综合能力提升培训项目》。该项目主要包括“教师教育理论与实践培训”“教学团队跟岗研修”“校本实践研修”三个阶段，每个阶段侧重培训高职教师知</w:t>
      </w:r>
      <w:proofErr w:type="gramStart"/>
      <w:r>
        <w:rPr>
          <w:rFonts w:ascii="仿宋" w:eastAsia="仿宋" w:hAnsi="仿宋" w:cs="仿宋" w:hint="eastAsia"/>
          <w:sz w:val="28"/>
          <w:szCs w:val="28"/>
        </w:rPr>
        <w:t>能结构</w:t>
      </w:r>
      <w:proofErr w:type="gramEnd"/>
      <w:r>
        <w:rPr>
          <w:rFonts w:ascii="仿宋" w:eastAsia="仿宋" w:hAnsi="仿宋" w:cs="仿宋" w:hint="eastAsia"/>
          <w:sz w:val="28"/>
          <w:szCs w:val="28"/>
        </w:rPr>
        <w:t>的不同方面。经过6年的实践探索，逐渐形成了“培训目标聚焦教师综合能力提升”“培训课程贴近教师发展需求”“培训方法注重行动导向”“培训形式融合多阶段和信息化”等教师培训特色，对全省高职教师培训项目起到了示范引领效应。6年来，共开展53个培训班次，共培训学员3048人，有效地帮助了高职院校新入职教师树立先进职业教育理念，</w:t>
      </w:r>
      <w:r>
        <w:rPr>
          <w:rFonts w:ascii="仿宋" w:eastAsia="仿宋" w:hAnsi="仿宋" w:cs="仿宋"/>
          <w:sz w:val="28"/>
          <w:szCs w:val="28"/>
        </w:rPr>
        <w:t>形成良好职业道德，提升综合职业素养。</w:t>
      </w:r>
    </w:p>
    <w:p w14:paraId="0EDA5C73" w14:textId="77777777" w:rsidR="00E166F4" w:rsidRDefault="00000000" w:rsidP="00D00CA5">
      <w:pPr>
        <w:spacing w:line="560" w:lineRule="exact"/>
        <w:ind w:firstLineChars="200" w:firstLine="562"/>
        <w:rPr>
          <w:rFonts w:eastAsia="仿宋"/>
          <w:b/>
          <w:bCs/>
          <w:sz w:val="28"/>
          <w:szCs w:val="28"/>
        </w:rPr>
      </w:pPr>
      <w:r>
        <w:rPr>
          <w:rFonts w:eastAsia="仿宋" w:hint="eastAsia"/>
          <w:b/>
          <w:bCs/>
          <w:sz w:val="28"/>
          <w:szCs w:val="28"/>
        </w:rPr>
        <w:t>一、高职院校新教师岗前综合能力提升培训项目重点解决的问题</w:t>
      </w:r>
    </w:p>
    <w:p w14:paraId="6A195914" w14:textId="77777777" w:rsidR="00E166F4" w:rsidRDefault="00000000" w:rsidP="00D00CA5">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1.针对以往教师培训内容“理论过多”，“不接地气”等现象，基于高职新教师缺乏基本师范教育素养与</w:t>
      </w:r>
      <w:proofErr w:type="gramStart"/>
      <w:r>
        <w:rPr>
          <w:rFonts w:ascii="仿宋" w:eastAsia="仿宋" w:hAnsi="仿宋" w:cs="仿宋" w:hint="eastAsia"/>
          <w:sz w:val="28"/>
          <w:szCs w:val="28"/>
        </w:rPr>
        <w:t>行企业</w:t>
      </w:r>
      <w:proofErr w:type="gramEnd"/>
      <w:r>
        <w:rPr>
          <w:rFonts w:ascii="仿宋" w:eastAsia="仿宋" w:hAnsi="仿宋" w:cs="仿宋" w:hint="eastAsia"/>
          <w:sz w:val="28"/>
          <w:szCs w:val="28"/>
        </w:rPr>
        <w:t>实践经验现状，解决职教教师教育培训内容不合理、不系统等问题，积极探索符合高职教师专业发展需要的模块化培训课程体系。</w:t>
      </w:r>
    </w:p>
    <w:p w14:paraId="697B4209" w14:textId="77777777" w:rsidR="00E166F4" w:rsidRDefault="00000000" w:rsidP="00D00CA5">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2.针对以往教师</w:t>
      </w:r>
      <w:r>
        <w:rPr>
          <w:rFonts w:ascii="仿宋" w:eastAsia="仿宋" w:hAnsi="仿宋" w:cs="仿宋"/>
          <w:sz w:val="28"/>
          <w:szCs w:val="28"/>
        </w:rPr>
        <w:t>培训</w:t>
      </w:r>
      <w:r>
        <w:rPr>
          <w:rFonts w:ascii="仿宋" w:eastAsia="仿宋" w:hAnsi="仿宋" w:cs="仿宋" w:hint="eastAsia"/>
          <w:sz w:val="28"/>
          <w:szCs w:val="28"/>
        </w:rPr>
        <w:t>形式“课堂教学为主”，“理论讲授为主”，学员积极性</w:t>
      </w:r>
      <w:proofErr w:type="gramStart"/>
      <w:r>
        <w:rPr>
          <w:rFonts w:ascii="仿宋" w:eastAsia="仿宋" w:hAnsi="仿宋" w:cs="仿宋" w:hint="eastAsia"/>
          <w:sz w:val="28"/>
          <w:szCs w:val="28"/>
        </w:rPr>
        <w:t>不</w:t>
      </w:r>
      <w:proofErr w:type="gramEnd"/>
      <w:r>
        <w:rPr>
          <w:rFonts w:ascii="仿宋" w:eastAsia="仿宋" w:hAnsi="仿宋" w:cs="仿宋" w:hint="eastAsia"/>
          <w:sz w:val="28"/>
          <w:szCs w:val="28"/>
        </w:rPr>
        <w:t>高等现象，基于任务驱动教学法，推广团队协作学习社群和行动导向参与式培训。</w:t>
      </w:r>
    </w:p>
    <w:p w14:paraId="38A13115" w14:textId="77777777" w:rsidR="00E166F4" w:rsidRDefault="00000000" w:rsidP="00D00CA5">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3.针对以往培训项目考核“撰写心得体会”，“偏重满意度测评”，考核结果不直观等现象，基于评价学员物化学习成果，开展显性</w:t>
      </w:r>
      <w:proofErr w:type="gramStart"/>
      <w:r>
        <w:rPr>
          <w:rFonts w:ascii="仿宋" w:eastAsia="仿宋" w:hAnsi="仿宋" w:cs="仿宋" w:hint="eastAsia"/>
          <w:sz w:val="28"/>
          <w:szCs w:val="28"/>
        </w:rPr>
        <w:t>化考核</w:t>
      </w:r>
      <w:proofErr w:type="gramEnd"/>
      <w:r>
        <w:rPr>
          <w:rFonts w:ascii="仿宋" w:eastAsia="仿宋" w:hAnsi="仿宋" w:cs="仿宋" w:hint="eastAsia"/>
          <w:sz w:val="28"/>
          <w:szCs w:val="28"/>
        </w:rPr>
        <w:t>评价和“启航杯”教学竞赛活动，检验培训项目成效。</w:t>
      </w:r>
    </w:p>
    <w:p w14:paraId="1AE4B5FE" w14:textId="77777777" w:rsidR="00E166F4" w:rsidRDefault="00000000" w:rsidP="00D00CA5">
      <w:pPr>
        <w:spacing w:line="560" w:lineRule="exact"/>
        <w:ind w:firstLineChars="200" w:firstLine="562"/>
        <w:rPr>
          <w:rFonts w:eastAsia="仿宋"/>
          <w:b/>
          <w:bCs/>
          <w:sz w:val="28"/>
          <w:szCs w:val="28"/>
        </w:rPr>
      </w:pPr>
      <w:r>
        <w:rPr>
          <w:rFonts w:eastAsia="仿宋" w:hint="eastAsia"/>
          <w:b/>
          <w:bCs/>
          <w:sz w:val="28"/>
          <w:szCs w:val="28"/>
        </w:rPr>
        <w:t>二、高职院校新教师岗前综合能力提升培训项目主要特点</w:t>
      </w:r>
    </w:p>
    <w:p w14:paraId="53269010" w14:textId="77777777" w:rsidR="00E166F4" w:rsidRDefault="00000000" w:rsidP="00D00CA5">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经过6年的实践，江苏省高职院校新教师岗前综合能力提升培训项目基本形成了“培训课程模块化、培训模块主题化、培训主题团队化、培训管理信息化、培训参与行动式、培训考核体验式”的项目特点。</w:t>
      </w:r>
    </w:p>
    <w:p w14:paraId="097197E6" w14:textId="77777777" w:rsidR="00E166F4" w:rsidRDefault="00000000" w:rsidP="00970726">
      <w:pPr>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1.模块化培训课程</w:t>
      </w:r>
    </w:p>
    <w:p w14:paraId="65DCFD1D" w14:textId="7732E354" w:rsidR="00E166F4" w:rsidRDefault="00000000" w:rsidP="00970726">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高职院校新教师综合素养提升项目为期一年，</w:t>
      </w:r>
      <w:proofErr w:type="gramStart"/>
      <w:r>
        <w:rPr>
          <w:rFonts w:ascii="仿宋" w:eastAsia="仿宋" w:hAnsi="仿宋" w:cs="仿宋" w:hint="eastAsia"/>
          <w:sz w:val="28"/>
          <w:szCs w:val="28"/>
        </w:rPr>
        <w:t>含集中</w:t>
      </w:r>
      <w:proofErr w:type="gramEnd"/>
      <w:r>
        <w:rPr>
          <w:rFonts w:ascii="仿宋" w:eastAsia="仿宋" w:hAnsi="仿宋" w:cs="仿宋" w:hint="eastAsia"/>
          <w:sz w:val="28"/>
          <w:szCs w:val="28"/>
        </w:rPr>
        <w:t>研修和校本实践，其中集中研修分教师教育理论与实践培训阶段（4周，培训地点在省内5所具有师范背景的本科院校培训基地）、教学团队</w:t>
      </w:r>
      <w:proofErr w:type="gramStart"/>
      <w:r>
        <w:rPr>
          <w:rFonts w:ascii="仿宋" w:eastAsia="仿宋" w:hAnsi="仿宋" w:cs="仿宋" w:hint="eastAsia"/>
          <w:sz w:val="28"/>
          <w:szCs w:val="28"/>
        </w:rPr>
        <w:t>跟岗实践</w:t>
      </w:r>
      <w:proofErr w:type="gramEnd"/>
      <w:r>
        <w:rPr>
          <w:rFonts w:ascii="仿宋" w:eastAsia="仿宋" w:hAnsi="仿宋" w:cs="仿宋" w:hint="eastAsia"/>
          <w:sz w:val="28"/>
          <w:szCs w:val="28"/>
        </w:rPr>
        <w:t>阶段（4周，地点在省内高职校国家级教学创新教学团队）。按照“课程模块、教学单元、教学主题”三级架构设置集中研修阶段培训课程。一级课程模块有3个，即“职教理论”“职教教学”和“职教研究”；二级教学单元有16个，如“职业教育改革现状”“人才培养方案和课程标准”“现代教育信息技术”“高职研究能力和方法”等；三级教学主题有45个，如“高职人才培养方案与课标解读、行动导向教学设计、高职课堂教学组织与管理”等，重要教学主题由名师教学团队授课。同时，在校本实践研修阶段设置10个教学单元，15个教学主题。建构集中培训课程与在线课程、线上线下双轨并行的两大类课程体系；制定重点模块课程标准，将集中课程培训、小组研修、个人</w:t>
      </w:r>
      <w:proofErr w:type="gramStart"/>
      <w:r>
        <w:rPr>
          <w:rFonts w:ascii="仿宋" w:eastAsia="仿宋" w:hAnsi="仿宋" w:cs="仿宋" w:hint="eastAsia"/>
          <w:sz w:val="28"/>
          <w:szCs w:val="28"/>
        </w:rPr>
        <w:t>在岗线</w:t>
      </w:r>
      <w:proofErr w:type="gramEnd"/>
      <w:r>
        <w:rPr>
          <w:rFonts w:ascii="仿宋" w:eastAsia="仿宋" w:hAnsi="仿宋" w:cs="仿宋" w:hint="eastAsia"/>
          <w:sz w:val="28"/>
          <w:szCs w:val="28"/>
        </w:rPr>
        <w:t>上线下学习内容与任务清晰呈现于学员任务书与课程表；初步实现个人研修与小组研修资源数字化。</w:t>
      </w:r>
    </w:p>
    <w:p w14:paraId="69E721F7" w14:textId="77777777" w:rsidR="00E166F4" w:rsidRDefault="00000000" w:rsidP="00970726">
      <w:pPr>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lastRenderedPageBreak/>
        <w:t>2.行动式培训参与</w:t>
      </w:r>
    </w:p>
    <w:p w14:paraId="630EF82A" w14:textId="77777777" w:rsidR="00E166F4" w:rsidRDefault="00000000" w:rsidP="00970726">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学习理论认为，促进学习者参与的教学方法主要有</w:t>
      </w:r>
      <w:proofErr w:type="gramStart"/>
      <w:r>
        <w:rPr>
          <w:rFonts w:ascii="仿宋" w:eastAsia="仿宋" w:hAnsi="仿宋" w:cs="仿宋" w:hint="eastAsia"/>
          <w:sz w:val="28"/>
          <w:szCs w:val="28"/>
        </w:rPr>
        <w:t>基于问题</w:t>
      </w:r>
      <w:proofErr w:type="gramEnd"/>
      <w:r>
        <w:rPr>
          <w:rFonts w:ascii="仿宋" w:eastAsia="仿宋" w:hAnsi="仿宋" w:cs="仿宋" w:hint="eastAsia"/>
          <w:sz w:val="28"/>
          <w:szCs w:val="28"/>
        </w:rPr>
        <w:t>的学习和协作学习。高职院校新教师综合素养提升项目采用行动导向教学法，注重学员带着问题与任务，在完成具体任务中实训实操，实现知识掌握与能力训练相结合，提高教育教学能力。在项目课程实施时，创新开设“学员生涯体验交流会”“师德故事报告会”“课题申报案例点评会”等参与式培训课程，研制参与式课程标准，让参训学员在师生互动和生生互动中自我提升。</w:t>
      </w:r>
    </w:p>
    <w:tbl>
      <w:tblPr>
        <w:tblStyle w:val="a9"/>
        <w:tblW w:w="9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9"/>
        <w:gridCol w:w="4383"/>
      </w:tblGrid>
      <w:tr w:rsidR="00E166F4" w14:paraId="754F508B" w14:textId="77777777">
        <w:trPr>
          <w:trHeight w:val="2857"/>
        </w:trPr>
        <w:tc>
          <w:tcPr>
            <w:tcW w:w="4779" w:type="dxa"/>
          </w:tcPr>
          <w:p w14:paraId="505351A0" w14:textId="77777777" w:rsidR="00E166F4" w:rsidRDefault="00000000">
            <w:pP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59439D8F" wp14:editId="12006386">
                  <wp:extent cx="2879090" cy="1678305"/>
                  <wp:effectExtent l="0" t="0" r="16510" b="17145"/>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7"/>
                          <a:stretch>
                            <a:fillRect/>
                          </a:stretch>
                        </pic:blipFill>
                        <pic:spPr>
                          <a:xfrm>
                            <a:off x="0" y="0"/>
                            <a:ext cx="2879090" cy="1678305"/>
                          </a:xfrm>
                          <a:prstGeom prst="rect">
                            <a:avLst/>
                          </a:prstGeom>
                        </pic:spPr>
                      </pic:pic>
                    </a:graphicData>
                  </a:graphic>
                </wp:inline>
              </w:drawing>
            </w:r>
          </w:p>
        </w:tc>
        <w:tc>
          <w:tcPr>
            <w:tcW w:w="4383" w:type="dxa"/>
          </w:tcPr>
          <w:p w14:paraId="276F5652" w14:textId="77777777" w:rsidR="00E166F4" w:rsidRDefault="00000000">
            <w:pP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33F6C6B9" wp14:editId="1D328625">
                  <wp:extent cx="2512060" cy="1722755"/>
                  <wp:effectExtent l="0" t="0" r="2540" b="10795"/>
                  <wp:docPr id="5" name="图片 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2"/>
                          <pic:cNvPicPr>
                            <a:picLocks noChangeAspect="1"/>
                          </pic:cNvPicPr>
                        </pic:nvPicPr>
                        <pic:blipFill>
                          <a:blip r:embed="rId8"/>
                          <a:stretch>
                            <a:fillRect/>
                          </a:stretch>
                        </pic:blipFill>
                        <pic:spPr>
                          <a:xfrm>
                            <a:off x="0" y="0"/>
                            <a:ext cx="2512060" cy="1722755"/>
                          </a:xfrm>
                          <a:prstGeom prst="rect">
                            <a:avLst/>
                          </a:prstGeom>
                        </pic:spPr>
                      </pic:pic>
                    </a:graphicData>
                  </a:graphic>
                </wp:inline>
              </w:drawing>
            </w:r>
          </w:p>
        </w:tc>
      </w:tr>
    </w:tbl>
    <w:p w14:paraId="7A20FECF" w14:textId="77777777" w:rsidR="00970726" w:rsidRDefault="00970726" w:rsidP="00970726">
      <w:pPr>
        <w:spacing w:line="560" w:lineRule="exact"/>
        <w:ind w:firstLineChars="200" w:firstLine="560"/>
        <w:rPr>
          <w:rFonts w:ascii="仿宋" w:eastAsia="仿宋" w:hAnsi="仿宋" w:cs="仿宋"/>
          <w:sz w:val="28"/>
          <w:szCs w:val="28"/>
        </w:rPr>
      </w:pPr>
    </w:p>
    <w:p w14:paraId="51A4C25D" w14:textId="193DFD09" w:rsidR="00E166F4" w:rsidRDefault="00000000" w:rsidP="00970726">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利用大数据手段，打造“互联网+交互式”培训课堂。要求1-2个单元课程试点</w:t>
      </w:r>
      <w:proofErr w:type="gramStart"/>
      <w:r>
        <w:rPr>
          <w:rFonts w:ascii="仿宋" w:eastAsia="仿宋" w:hAnsi="仿宋" w:cs="仿宋" w:hint="eastAsia"/>
          <w:sz w:val="28"/>
          <w:szCs w:val="28"/>
        </w:rPr>
        <w:t>“课堂派”等云课堂</w:t>
      </w:r>
      <w:proofErr w:type="gramEnd"/>
      <w:r>
        <w:rPr>
          <w:rFonts w:ascii="仿宋" w:eastAsia="仿宋" w:hAnsi="仿宋" w:cs="仿宋" w:hint="eastAsia"/>
          <w:sz w:val="28"/>
          <w:szCs w:val="28"/>
        </w:rPr>
        <w:t>授课，组织课内外、线上下研讨实践与考核活动。建立线上线下混合学习社群，开设“在线课程、小组研修空间”等栏目，辅导导师团队与学员交互学习，指导完成相关任务并及时开展小组评议，实现互联网学习型组织的学习构想。</w:t>
      </w:r>
    </w:p>
    <w:p w14:paraId="38C13D55" w14:textId="77777777" w:rsidR="00E166F4" w:rsidRDefault="00000000">
      <w:pPr>
        <w:tabs>
          <w:tab w:val="left" w:pos="540"/>
        </w:tabs>
        <w:spacing w:line="420" w:lineRule="exact"/>
        <w:ind w:firstLineChars="200" w:firstLine="560"/>
        <w:rPr>
          <w:rFonts w:ascii="仿宋" w:eastAsia="仿宋" w:hAnsi="仿宋" w:cs="仿宋"/>
          <w:sz w:val="28"/>
          <w:szCs w:val="28"/>
        </w:rPr>
      </w:pPr>
      <w:r>
        <w:rPr>
          <w:rFonts w:ascii="宋体" w:eastAsia="宋体" w:hAnsi="宋体" w:cs="宋体" w:hint="eastAsia"/>
          <w:noProof/>
          <w:color w:val="0000FF"/>
          <w:sz w:val="28"/>
          <w:szCs w:val="28"/>
        </w:rPr>
        <w:drawing>
          <wp:anchor distT="0" distB="0" distL="0" distR="0" simplePos="0" relativeHeight="251660288" behindDoc="0" locked="0" layoutInCell="1" allowOverlap="1" wp14:anchorId="3650F23D" wp14:editId="5A69DBDC">
            <wp:simplePos x="0" y="0"/>
            <wp:positionH relativeFrom="column">
              <wp:posOffset>436880</wp:posOffset>
            </wp:positionH>
            <wp:positionV relativeFrom="paragraph">
              <wp:posOffset>129540</wp:posOffset>
            </wp:positionV>
            <wp:extent cx="4039870" cy="1555750"/>
            <wp:effectExtent l="0" t="0" r="17780" b="6350"/>
            <wp:wrapTopAndBottom/>
            <wp:docPr id="1032" name="图片 1032" descr="培训交互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图片 1032" descr="培训交互图"/>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39870" cy="1555750"/>
                    </a:xfrm>
                    <a:prstGeom prst="rect">
                      <a:avLst/>
                    </a:prstGeom>
                    <a:noFill/>
                    <a:ln>
                      <a:noFill/>
                    </a:ln>
                  </pic:spPr>
                </pic:pic>
              </a:graphicData>
            </a:graphic>
          </wp:anchor>
        </w:drawing>
      </w:r>
    </w:p>
    <w:p w14:paraId="685AADA8" w14:textId="77777777" w:rsidR="00E166F4" w:rsidRDefault="00000000" w:rsidP="00970726">
      <w:pPr>
        <w:tabs>
          <w:tab w:val="left" w:pos="540"/>
        </w:tabs>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lastRenderedPageBreak/>
        <w:t>3.体验式培训考核</w:t>
      </w:r>
    </w:p>
    <w:p w14:paraId="79C506AE" w14:textId="77777777" w:rsidR="00E166F4" w:rsidRDefault="00000000" w:rsidP="00970726">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改变传统培训评价方式，项目通过“启航杯”江苏省高职院校新教师教学竞赛全面考核学员参训效果。该赛事已经连续举办6年，从一个检验培训项目的考核手段，已经成为江苏高职教师发展领域的省级赛事。通过小组赛和</w:t>
      </w:r>
      <w:proofErr w:type="gramStart"/>
      <w:r>
        <w:rPr>
          <w:rFonts w:ascii="仿宋" w:eastAsia="仿宋" w:hAnsi="仿宋" w:cs="仿宋" w:hint="eastAsia"/>
          <w:sz w:val="28"/>
          <w:szCs w:val="28"/>
        </w:rPr>
        <w:t>基地赛</w:t>
      </w:r>
      <w:proofErr w:type="gramEnd"/>
      <w:r>
        <w:rPr>
          <w:rFonts w:ascii="仿宋" w:eastAsia="仿宋" w:hAnsi="仿宋" w:cs="仿宋" w:hint="eastAsia"/>
          <w:sz w:val="28"/>
          <w:szCs w:val="28"/>
        </w:rPr>
        <w:t>到省级赛，参训学员全员参与，层层选拔。所有学员参加小组赛，小组赛前2名进入基地赛，基地赛前4名进入省级赛。作为竞赛选手，学员从备课、观摩、演练到赛课，有辅导老师全程支持指导；作为培训学员，能够近距离观摩教学竞赛，听取国家级名师和省级名师评委的赛事点评。参训学员在体验中提升教育教学能力，真正达到以赛促练、以赛促评，以赛促培的效果。</w:t>
      </w:r>
    </w:p>
    <w:tbl>
      <w:tblPr>
        <w:tblStyle w:val="a9"/>
        <w:tblW w:w="90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0"/>
        <w:gridCol w:w="4383"/>
      </w:tblGrid>
      <w:tr w:rsidR="00E166F4" w14:paraId="2B231BFD" w14:textId="77777777">
        <w:trPr>
          <w:trHeight w:val="2857"/>
          <w:jc w:val="center"/>
        </w:trPr>
        <w:tc>
          <w:tcPr>
            <w:tcW w:w="4620" w:type="dxa"/>
          </w:tcPr>
          <w:p w14:paraId="169E3CB2" w14:textId="77777777" w:rsidR="00E166F4" w:rsidRDefault="00000000">
            <w:pPr>
              <w:jc w:val="cente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2A246EA0" wp14:editId="52B4B296">
                  <wp:extent cx="2816225" cy="1877695"/>
                  <wp:effectExtent l="0" t="0" r="3175" b="8255"/>
                  <wp:docPr id="11" name="图片 11" descr="_H1A9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_H1A9420"/>
                          <pic:cNvPicPr>
                            <a:picLocks noChangeAspect="1"/>
                          </pic:cNvPicPr>
                        </pic:nvPicPr>
                        <pic:blipFill>
                          <a:blip r:embed="rId10"/>
                          <a:stretch>
                            <a:fillRect/>
                          </a:stretch>
                        </pic:blipFill>
                        <pic:spPr>
                          <a:xfrm>
                            <a:off x="0" y="0"/>
                            <a:ext cx="2816225" cy="1877695"/>
                          </a:xfrm>
                          <a:prstGeom prst="rect">
                            <a:avLst/>
                          </a:prstGeom>
                        </pic:spPr>
                      </pic:pic>
                    </a:graphicData>
                  </a:graphic>
                </wp:inline>
              </w:drawing>
            </w:r>
          </w:p>
        </w:tc>
        <w:tc>
          <w:tcPr>
            <w:tcW w:w="4383" w:type="dxa"/>
          </w:tcPr>
          <w:p w14:paraId="4F8B3954" w14:textId="77777777" w:rsidR="00E166F4" w:rsidRDefault="00000000">
            <w:pPr>
              <w:jc w:val="cente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793402C0" wp14:editId="5B5A6CEB">
                  <wp:extent cx="2781935" cy="1844675"/>
                  <wp:effectExtent l="0" t="0" r="18415" b="3175"/>
                  <wp:docPr id="12" name="图片 12" descr="1668587612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68587612934"/>
                          <pic:cNvPicPr>
                            <a:picLocks noChangeAspect="1"/>
                          </pic:cNvPicPr>
                        </pic:nvPicPr>
                        <pic:blipFill>
                          <a:blip r:embed="rId11"/>
                          <a:stretch>
                            <a:fillRect/>
                          </a:stretch>
                        </pic:blipFill>
                        <pic:spPr>
                          <a:xfrm>
                            <a:off x="0" y="0"/>
                            <a:ext cx="2781935" cy="1844675"/>
                          </a:xfrm>
                          <a:prstGeom prst="rect">
                            <a:avLst/>
                          </a:prstGeom>
                        </pic:spPr>
                      </pic:pic>
                    </a:graphicData>
                  </a:graphic>
                </wp:inline>
              </w:drawing>
            </w:r>
          </w:p>
        </w:tc>
      </w:tr>
    </w:tbl>
    <w:p w14:paraId="7CF595E5" w14:textId="77777777" w:rsidR="00E166F4" w:rsidRDefault="00000000" w:rsidP="00970726">
      <w:pPr>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4.精细</w:t>
      </w:r>
      <w:proofErr w:type="gramStart"/>
      <w:r>
        <w:rPr>
          <w:rFonts w:ascii="仿宋" w:eastAsia="仿宋" w:hAnsi="仿宋" w:cs="仿宋" w:hint="eastAsia"/>
          <w:b/>
          <w:bCs/>
          <w:sz w:val="28"/>
          <w:szCs w:val="28"/>
        </w:rPr>
        <w:t>化培训</w:t>
      </w:r>
      <w:proofErr w:type="gramEnd"/>
      <w:r>
        <w:rPr>
          <w:rFonts w:ascii="仿宋" w:eastAsia="仿宋" w:hAnsi="仿宋" w:cs="仿宋" w:hint="eastAsia"/>
          <w:b/>
          <w:bCs/>
          <w:sz w:val="28"/>
          <w:szCs w:val="28"/>
        </w:rPr>
        <w:t>管理</w:t>
      </w:r>
    </w:p>
    <w:p w14:paraId="74845BFD" w14:textId="77777777" w:rsidR="00E166F4" w:rsidRDefault="00000000" w:rsidP="00970726">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江苏省高等职业教育教师培训中心牵头，组建项目实施工作小组，分为培训方案组、培训资源组和培训考核组等，定期通过小组工作会议形式重点研究解决项目实践的具体问题。经多年实践探索</w:t>
      </w:r>
      <w:r>
        <w:rPr>
          <w:rFonts w:ascii="仿宋" w:eastAsia="仿宋" w:hAnsi="仿宋" w:cs="仿宋"/>
          <w:sz w:val="28"/>
          <w:szCs w:val="28"/>
        </w:rPr>
        <w:t>，形成</w:t>
      </w:r>
      <w:r>
        <w:rPr>
          <w:rFonts w:ascii="仿宋" w:eastAsia="仿宋" w:hAnsi="仿宋" w:cs="仿宋" w:hint="eastAsia"/>
          <w:sz w:val="28"/>
          <w:szCs w:val="28"/>
        </w:rPr>
        <w:t>了</w:t>
      </w:r>
      <w:r>
        <w:rPr>
          <w:rFonts w:ascii="仿宋" w:eastAsia="仿宋" w:hAnsi="仿宋" w:cs="仿宋"/>
          <w:sz w:val="28"/>
          <w:szCs w:val="28"/>
        </w:rPr>
        <w:t>可复制的培训操作标准</w:t>
      </w:r>
      <w:r>
        <w:rPr>
          <w:rFonts w:ascii="仿宋" w:eastAsia="仿宋" w:hAnsi="仿宋" w:cs="仿宋" w:hint="eastAsia"/>
          <w:sz w:val="28"/>
          <w:szCs w:val="28"/>
        </w:rPr>
        <w:t>与完善的管理制度体系，凝练出“</w:t>
      </w:r>
      <w:r>
        <w:rPr>
          <w:rFonts w:ascii="仿宋" w:eastAsia="仿宋" w:hAnsi="仿宋" w:cs="仿宋"/>
          <w:sz w:val="28"/>
          <w:szCs w:val="28"/>
        </w:rPr>
        <w:t>行动导向教学模式</w:t>
      </w:r>
      <w:r>
        <w:rPr>
          <w:rFonts w:ascii="仿宋" w:eastAsia="仿宋" w:hAnsi="仿宋" w:cs="仿宋" w:hint="eastAsia"/>
          <w:sz w:val="28"/>
          <w:szCs w:val="28"/>
        </w:rPr>
        <w:t>”等</w:t>
      </w:r>
      <w:r>
        <w:rPr>
          <w:rFonts w:ascii="仿宋" w:eastAsia="仿宋" w:hAnsi="仿宋" w:cs="仿宋"/>
          <w:sz w:val="28"/>
          <w:szCs w:val="28"/>
        </w:rPr>
        <w:t>高职教师培训特色</w:t>
      </w:r>
      <w:r>
        <w:rPr>
          <w:rFonts w:ascii="仿宋" w:eastAsia="仿宋" w:hAnsi="仿宋" w:cs="仿宋" w:hint="eastAsia"/>
          <w:sz w:val="28"/>
          <w:szCs w:val="28"/>
        </w:rPr>
        <w:t>，</w:t>
      </w:r>
      <w:r>
        <w:rPr>
          <w:rFonts w:ascii="仿宋" w:eastAsia="仿宋" w:hAnsi="仿宋" w:cs="仿宋"/>
          <w:sz w:val="28"/>
          <w:szCs w:val="28"/>
        </w:rPr>
        <w:t>创新</w:t>
      </w:r>
      <w:r>
        <w:rPr>
          <w:rFonts w:ascii="仿宋" w:eastAsia="仿宋" w:hAnsi="仿宋" w:cs="仿宋" w:hint="eastAsia"/>
          <w:sz w:val="28"/>
          <w:szCs w:val="28"/>
        </w:rPr>
        <w:t>了</w:t>
      </w:r>
      <w:r>
        <w:rPr>
          <w:rFonts w:ascii="仿宋" w:eastAsia="仿宋" w:hAnsi="仿宋" w:cs="仿宋"/>
          <w:sz w:val="28"/>
          <w:szCs w:val="28"/>
        </w:rPr>
        <w:t>教师培训模式</w:t>
      </w:r>
      <w:r>
        <w:rPr>
          <w:rFonts w:ascii="仿宋" w:eastAsia="仿宋" w:hAnsi="仿宋" w:cs="仿宋" w:hint="eastAsia"/>
          <w:sz w:val="28"/>
          <w:szCs w:val="28"/>
        </w:rPr>
        <w:t>。培训师资建设突显了“高职名师参与培养高职院校新教师”理念。引入高职省级以上教学名师与教学团队加入项目，建立了“科研+教学团队、小组辅导教师导师团队与服务团队（双班主任制）”</w:t>
      </w:r>
      <w:proofErr w:type="gramStart"/>
      <w:r>
        <w:rPr>
          <w:rFonts w:ascii="仿宋" w:eastAsia="仿宋" w:hAnsi="仿宋" w:cs="仿宋" w:hint="eastAsia"/>
          <w:sz w:val="28"/>
          <w:szCs w:val="28"/>
        </w:rPr>
        <w:t>三类型</w:t>
      </w:r>
      <w:proofErr w:type="gramEnd"/>
      <w:r>
        <w:rPr>
          <w:rFonts w:ascii="仿宋" w:eastAsia="仿宋" w:hAnsi="仿宋" w:cs="仿宋" w:hint="eastAsia"/>
          <w:sz w:val="28"/>
          <w:szCs w:val="28"/>
        </w:rPr>
        <w:t>导师团队，做到</w:t>
      </w:r>
      <w:r>
        <w:rPr>
          <w:rFonts w:ascii="仿宋" w:eastAsia="仿宋" w:hAnsi="仿宋" w:cs="仿宋" w:hint="eastAsia"/>
          <w:sz w:val="28"/>
          <w:szCs w:val="28"/>
        </w:rPr>
        <w:lastRenderedPageBreak/>
        <w:t>更切实地推行任务驱动、更依托互联网学习交互，并形成了一批优秀培训师资团队。创建公共服务平台强化智慧培训管理。“培训研修平台”与“培训管理平台”提供丰富的数字课程资源方便学员线上线下学习同，实现了项目管理的智能化、便捷化。借助现代信息技术，还广泛提升了项目的影响力。2021年第五届“启航杯”教学竞赛直播现场，当天全省高职院校教师观摩赛事的人数峰值为12000人次。</w:t>
      </w:r>
    </w:p>
    <w:tbl>
      <w:tblPr>
        <w:tblStyle w:val="a9"/>
        <w:tblW w:w="90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60"/>
        <w:gridCol w:w="5431"/>
      </w:tblGrid>
      <w:tr w:rsidR="00E166F4" w14:paraId="414292D1" w14:textId="77777777">
        <w:trPr>
          <w:trHeight w:val="3768"/>
          <w:jc w:val="center"/>
        </w:trPr>
        <w:tc>
          <w:tcPr>
            <w:tcW w:w="3660" w:type="dxa"/>
          </w:tcPr>
          <w:p w14:paraId="14C9E509" w14:textId="77777777" w:rsidR="00E166F4" w:rsidRDefault="00000000">
            <w:pPr>
              <w:jc w:val="cente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3711663D" wp14:editId="318BF718">
                  <wp:extent cx="2281555" cy="2581275"/>
                  <wp:effectExtent l="0" t="0" r="4445" b="9525"/>
                  <wp:docPr id="15" name="图片 1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3"/>
                          <pic:cNvPicPr>
                            <a:picLocks noChangeAspect="1"/>
                          </pic:cNvPicPr>
                        </pic:nvPicPr>
                        <pic:blipFill>
                          <a:blip r:embed="rId12"/>
                          <a:stretch>
                            <a:fillRect/>
                          </a:stretch>
                        </pic:blipFill>
                        <pic:spPr>
                          <a:xfrm>
                            <a:off x="0" y="0"/>
                            <a:ext cx="2281555" cy="2581275"/>
                          </a:xfrm>
                          <a:prstGeom prst="rect">
                            <a:avLst/>
                          </a:prstGeom>
                        </pic:spPr>
                      </pic:pic>
                    </a:graphicData>
                  </a:graphic>
                </wp:inline>
              </w:drawing>
            </w:r>
          </w:p>
        </w:tc>
        <w:tc>
          <w:tcPr>
            <w:tcW w:w="5431" w:type="dxa"/>
          </w:tcPr>
          <w:p w14:paraId="206441F2" w14:textId="77777777" w:rsidR="00E166F4" w:rsidRDefault="00000000">
            <w:pPr>
              <w:jc w:val="center"/>
              <w:rPr>
                <w:rFonts w:ascii="仿宋" w:eastAsia="仿宋" w:hAnsi="仿宋" w:cs="仿宋"/>
                <w:sz w:val="28"/>
                <w:szCs w:val="28"/>
              </w:rPr>
            </w:pPr>
            <w:r>
              <w:rPr>
                <w:rFonts w:ascii="仿宋" w:eastAsia="仿宋" w:hAnsi="仿宋" w:cs="仿宋" w:hint="eastAsia"/>
                <w:noProof/>
                <w:sz w:val="28"/>
                <w:szCs w:val="28"/>
              </w:rPr>
              <w:drawing>
                <wp:inline distT="0" distB="0" distL="114300" distR="114300" wp14:anchorId="619331C1" wp14:editId="66E89160">
                  <wp:extent cx="3411220" cy="2708275"/>
                  <wp:effectExtent l="0" t="0" r="17780" b="15875"/>
                  <wp:docPr id="16" name="图片 16"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4"/>
                          <pic:cNvPicPr>
                            <a:picLocks noChangeAspect="1"/>
                          </pic:cNvPicPr>
                        </pic:nvPicPr>
                        <pic:blipFill>
                          <a:blip r:embed="rId13"/>
                          <a:stretch>
                            <a:fillRect/>
                          </a:stretch>
                        </pic:blipFill>
                        <pic:spPr>
                          <a:xfrm>
                            <a:off x="0" y="0"/>
                            <a:ext cx="3411220" cy="2708275"/>
                          </a:xfrm>
                          <a:prstGeom prst="rect">
                            <a:avLst/>
                          </a:prstGeom>
                        </pic:spPr>
                      </pic:pic>
                    </a:graphicData>
                  </a:graphic>
                </wp:inline>
              </w:drawing>
            </w:r>
          </w:p>
        </w:tc>
      </w:tr>
    </w:tbl>
    <w:p w14:paraId="320734B8" w14:textId="77777777" w:rsidR="00E166F4" w:rsidRDefault="00000000" w:rsidP="00970726">
      <w:pPr>
        <w:spacing w:beforeLines="50" w:before="156" w:line="560" w:lineRule="exact"/>
        <w:ind w:firstLineChars="200" w:firstLine="562"/>
        <w:rPr>
          <w:rFonts w:eastAsia="仿宋"/>
          <w:b/>
          <w:bCs/>
          <w:sz w:val="28"/>
          <w:szCs w:val="28"/>
        </w:rPr>
      </w:pPr>
      <w:r>
        <w:rPr>
          <w:rFonts w:eastAsia="仿宋" w:hint="eastAsia"/>
          <w:b/>
          <w:bCs/>
          <w:sz w:val="28"/>
          <w:szCs w:val="28"/>
        </w:rPr>
        <w:t>三、高职院校新教师岗前综合能力提升培训项目的主要成效</w:t>
      </w:r>
    </w:p>
    <w:p w14:paraId="597E33AF" w14:textId="77777777" w:rsidR="00E166F4" w:rsidRDefault="00000000" w:rsidP="00970726">
      <w:pPr>
        <w:tabs>
          <w:tab w:val="left" w:pos="540"/>
        </w:tabs>
        <w:spacing w:line="560" w:lineRule="exact"/>
        <w:ind w:firstLineChars="300" w:firstLine="843"/>
        <w:rPr>
          <w:rFonts w:ascii="仿宋" w:eastAsia="仿宋" w:hAnsi="仿宋" w:cs="仿宋"/>
          <w:b/>
          <w:bCs/>
          <w:sz w:val="28"/>
          <w:szCs w:val="28"/>
        </w:rPr>
      </w:pPr>
      <w:r>
        <w:rPr>
          <w:rFonts w:ascii="仿宋" w:eastAsia="仿宋" w:hAnsi="仿宋" w:cs="仿宋" w:hint="eastAsia"/>
          <w:b/>
          <w:bCs/>
          <w:sz w:val="28"/>
          <w:szCs w:val="28"/>
        </w:rPr>
        <w:t>1.探索教师培训实践新模式</w:t>
      </w:r>
    </w:p>
    <w:p w14:paraId="5991AD4B" w14:textId="77777777" w:rsidR="00E166F4" w:rsidRDefault="00000000" w:rsidP="00970726">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“互联网+交互式”培训模式创设的线上线下学习空间实现了在岗学习与集中培训相结合；创设的师德故事会等</w:t>
      </w:r>
      <w:proofErr w:type="gramStart"/>
      <w:r>
        <w:rPr>
          <w:rFonts w:ascii="仿宋" w:eastAsia="仿宋" w:hAnsi="仿宋" w:cs="仿宋" w:hint="eastAsia"/>
          <w:sz w:val="28"/>
          <w:szCs w:val="28"/>
        </w:rPr>
        <w:t>新培训</w:t>
      </w:r>
      <w:proofErr w:type="gramEnd"/>
      <w:r>
        <w:rPr>
          <w:rFonts w:ascii="仿宋" w:eastAsia="仿宋" w:hAnsi="仿宋" w:cs="仿宋" w:hint="eastAsia"/>
          <w:sz w:val="28"/>
          <w:szCs w:val="28"/>
        </w:rPr>
        <w:t>形式，实现了个人研修与师生、生生互动相结合；实行的行动导向任务驱动教学与教学能力竞赛，实现了知识掌握与能力训练相结合。项目形成了“网络化培训空间、模块化培训课程、行动化教学设计、情境化学习方法、多元化效果评价”的培训范式，为全省高职教师培训提供了借鉴。</w:t>
      </w:r>
    </w:p>
    <w:p w14:paraId="44B20597" w14:textId="77777777" w:rsidR="00E166F4" w:rsidRDefault="00000000" w:rsidP="00970726">
      <w:pPr>
        <w:tabs>
          <w:tab w:val="left" w:pos="540"/>
        </w:tabs>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2.获得学员素养提升新成效</w:t>
      </w:r>
    </w:p>
    <w:p w14:paraId="7C8D488B" w14:textId="77777777" w:rsidR="00E166F4" w:rsidRDefault="00000000" w:rsidP="00970726">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项目改革符合高职教师发展的特点。虽然培训周期长达一年且全</w:t>
      </w:r>
      <w:r>
        <w:rPr>
          <w:rFonts w:ascii="仿宋" w:eastAsia="仿宋" w:hAnsi="仿宋" w:cs="仿宋" w:hint="eastAsia"/>
          <w:sz w:val="28"/>
          <w:szCs w:val="28"/>
        </w:rPr>
        <w:lastRenderedPageBreak/>
        <w:t>程贯穿任务，但学员积极性得到充分调动，“累但</w:t>
      </w:r>
      <w:proofErr w:type="gramStart"/>
      <w:r>
        <w:rPr>
          <w:rFonts w:ascii="仿宋" w:eastAsia="仿宋" w:hAnsi="仿宋" w:cs="仿宋" w:hint="eastAsia"/>
          <w:sz w:val="28"/>
          <w:szCs w:val="28"/>
        </w:rPr>
        <w:t>快乐着</w:t>
      </w:r>
      <w:proofErr w:type="gramEnd"/>
      <w:r>
        <w:rPr>
          <w:rFonts w:ascii="仿宋" w:eastAsia="仿宋" w:hAnsi="仿宋" w:cs="仿宋" w:hint="eastAsia"/>
          <w:sz w:val="28"/>
          <w:szCs w:val="28"/>
        </w:rPr>
        <w:t>”是学员们最大的感受。行动导向教学、以赛促练等使学员能力素质得到迅速提升。项目获得历届学员的广泛认同，学员普遍满意度很高。从第三</w:t>
      </w:r>
      <w:proofErr w:type="gramStart"/>
      <w:r>
        <w:rPr>
          <w:rFonts w:ascii="仿宋" w:eastAsia="仿宋" w:hAnsi="仿宋" w:cs="仿宋" w:hint="eastAsia"/>
          <w:sz w:val="28"/>
          <w:szCs w:val="28"/>
        </w:rPr>
        <w:t>方项目</w:t>
      </w:r>
      <w:proofErr w:type="gramEnd"/>
      <w:r>
        <w:rPr>
          <w:rFonts w:ascii="仿宋" w:eastAsia="仿宋" w:hAnsi="仿宋" w:cs="仿宋" w:hint="eastAsia"/>
          <w:sz w:val="28"/>
          <w:szCs w:val="28"/>
        </w:rPr>
        <w:t>评价结果看，新教师项目总体满意度要明显高于其他项目，6年来平均满意度为97.4%。同时，项目获得了大多数高职院校的认可。参训学员在“启航杯”教学竞赛获奖后再参加全省全国教学能力大赛，获得</w:t>
      </w:r>
      <w:proofErr w:type="gramStart"/>
      <w:r>
        <w:rPr>
          <w:rFonts w:ascii="仿宋" w:eastAsia="仿宋" w:hAnsi="仿宋" w:cs="仿宋" w:hint="eastAsia"/>
          <w:sz w:val="28"/>
          <w:szCs w:val="28"/>
        </w:rPr>
        <w:t>一</w:t>
      </w:r>
      <w:proofErr w:type="gramEnd"/>
      <w:r>
        <w:rPr>
          <w:rFonts w:ascii="仿宋" w:eastAsia="仿宋" w:hAnsi="仿宋" w:cs="仿宋" w:hint="eastAsia"/>
          <w:sz w:val="28"/>
          <w:szCs w:val="28"/>
        </w:rPr>
        <w:t>二等奖的人数众多。越来越多的高职院校争先报名参加项目培训。</w:t>
      </w:r>
    </w:p>
    <w:p w14:paraId="532502C4" w14:textId="77777777" w:rsidR="00E166F4" w:rsidRDefault="00000000" w:rsidP="00970726">
      <w:pPr>
        <w:tabs>
          <w:tab w:val="left" w:pos="540"/>
        </w:tabs>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3.树立项目榜样示范新品牌</w:t>
      </w:r>
    </w:p>
    <w:p w14:paraId="4DE80639" w14:textId="77777777" w:rsidR="00E166F4" w:rsidRDefault="00000000" w:rsidP="00970726">
      <w:pPr>
        <w:tabs>
          <w:tab w:val="left" w:pos="540"/>
        </w:tabs>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项目改革实现了当初设定的“成范式、</w:t>
      </w:r>
      <w:r>
        <w:rPr>
          <w:rFonts w:ascii="仿宋" w:eastAsia="仿宋" w:hAnsi="仿宋" w:cs="仿宋"/>
          <w:sz w:val="28"/>
          <w:szCs w:val="28"/>
        </w:rPr>
        <w:t>创特色、树品牌”</w:t>
      </w:r>
      <w:r>
        <w:rPr>
          <w:rFonts w:ascii="仿宋" w:eastAsia="仿宋" w:hAnsi="仿宋" w:cs="仿宋" w:hint="eastAsia"/>
          <w:sz w:val="28"/>
          <w:szCs w:val="28"/>
        </w:rPr>
        <w:t>的目标，以点带面，项目的许多做法已经在其他项目中广泛应用，体现出辐射、示范效应。特别是为项目量体裁衣、精心打造的“启航杯”教学竞赛随着影响力不断增强，开始产生品牌效应。“以赛促训、以赛促改、以赛促管、赛训结合、重在提升”的竞赛宗旨为进一步促进新教师树立正确的高职教育教学理念，有效提升教学能力发挥了重要的引领作用，并在全省高职院校引起反响，形成了“项目催生竞赛、竞赛成就项目”的双赢格局，也成为了赛</w:t>
      </w:r>
      <w:proofErr w:type="gramStart"/>
      <w:r>
        <w:rPr>
          <w:rFonts w:ascii="仿宋" w:eastAsia="仿宋" w:hAnsi="仿宋" w:cs="仿宋" w:hint="eastAsia"/>
          <w:sz w:val="28"/>
          <w:szCs w:val="28"/>
        </w:rPr>
        <w:t>训结合</w:t>
      </w:r>
      <w:proofErr w:type="gramEnd"/>
      <w:r>
        <w:rPr>
          <w:rFonts w:ascii="仿宋" w:eastAsia="仿宋" w:hAnsi="仿宋" w:cs="仿宋" w:hint="eastAsia"/>
          <w:sz w:val="28"/>
          <w:szCs w:val="28"/>
        </w:rPr>
        <w:t>项目改革与实践的典范。</w:t>
      </w:r>
    </w:p>
    <w:sectPr w:rsidR="00E166F4">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9025" w14:textId="77777777" w:rsidR="00861F12" w:rsidRDefault="00861F12">
      <w:r>
        <w:separator/>
      </w:r>
    </w:p>
  </w:endnote>
  <w:endnote w:type="continuationSeparator" w:id="0">
    <w:p w14:paraId="626B874D" w14:textId="77777777" w:rsidR="00861F12" w:rsidRDefault="008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6C1C" w14:textId="77777777" w:rsidR="00E166F4" w:rsidRDefault="00000000">
    <w:pPr>
      <w:pStyle w:val="a4"/>
    </w:pPr>
    <w:r>
      <w:rPr>
        <w:noProof/>
      </w:rPr>
      <mc:AlternateContent>
        <mc:Choice Requires="wps">
          <w:drawing>
            <wp:anchor distT="0" distB="0" distL="114300" distR="114300" simplePos="0" relativeHeight="251659264" behindDoc="0" locked="0" layoutInCell="1" allowOverlap="1" wp14:anchorId="163503BC" wp14:editId="0ADD0F2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A1192" w14:textId="77777777" w:rsidR="00E166F4"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3503B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D9A1192" w14:textId="77777777" w:rsidR="00E166F4"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F4550" w14:textId="77777777" w:rsidR="00861F12" w:rsidRDefault="00861F12">
      <w:r>
        <w:separator/>
      </w:r>
    </w:p>
  </w:footnote>
  <w:footnote w:type="continuationSeparator" w:id="0">
    <w:p w14:paraId="49390BCA" w14:textId="77777777" w:rsidR="00861F12" w:rsidRDefault="00861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ZiMGU4ZGM5MTU2NTFjNmQwNDNjOWZlYjI3NGZmYmEifQ=="/>
  </w:docVars>
  <w:rsids>
    <w:rsidRoot w:val="005A5CCC"/>
    <w:rsid w:val="000C26EF"/>
    <w:rsid w:val="00414EBC"/>
    <w:rsid w:val="00490413"/>
    <w:rsid w:val="005A5CCC"/>
    <w:rsid w:val="005F44DE"/>
    <w:rsid w:val="006215F3"/>
    <w:rsid w:val="006D244F"/>
    <w:rsid w:val="00847BE8"/>
    <w:rsid w:val="00861F12"/>
    <w:rsid w:val="00875B63"/>
    <w:rsid w:val="0089189B"/>
    <w:rsid w:val="008D2C02"/>
    <w:rsid w:val="00970726"/>
    <w:rsid w:val="00A21805"/>
    <w:rsid w:val="00A90A0B"/>
    <w:rsid w:val="00D00CA5"/>
    <w:rsid w:val="00D919FB"/>
    <w:rsid w:val="00DD3B75"/>
    <w:rsid w:val="00DE25AD"/>
    <w:rsid w:val="00E166F4"/>
    <w:rsid w:val="00FD58D5"/>
    <w:rsid w:val="028B483E"/>
    <w:rsid w:val="02F47195"/>
    <w:rsid w:val="03E80687"/>
    <w:rsid w:val="03EE1E04"/>
    <w:rsid w:val="03F61A47"/>
    <w:rsid w:val="05D06DB9"/>
    <w:rsid w:val="05D12F1F"/>
    <w:rsid w:val="067D155B"/>
    <w:rsid w:val="06CC10FF"/>
    <w:rsid w:val="070B2C15"/>
    <w:rsid w:val="076F3D42"/>
    <w:rsid w:val="07CD48F6"/>
    <w:rsid w:val="08193505"/>
    <w:rsid w:val="082C3238"/>
    <w:rsid w:val="0A7333A0"/>
    <w:rsid w:val="0A7F6718"/>
    <w:rsid w:val="0B1A381C"/>
    <w:rsid w:val="0BAE575C"/>
    <w:rsid w:val="0C142961"/>
    <w:rsid w:val="0C632FA1"/>
    <w:rsid w:val="0D5E13EB"/>
    <w:rsid w:val="0E8114CD"/>
    <w:rsid w:val="0EED1247"/>
    <w:rsid w:val="0EFB147D"/>
    <w:rsid w:val="0F465BC2"/>
    <w:rsid w:val="0FB32491"/>
    <w:rsid w:val="0FFE129F"/>
    <w:rsid w:val="11DD1A47"/>
    <w:rsid w:val="121511E1"/>
    <w:rsid w:val="12AE1611"/>
    <w:rsid w:val="13197144"/>
    <w:rsid w:val="1362539D"/>
    <w:rsid w:val="13830572"/>
    <w:rsid w:val="143516C6"/>
    <w:rsid w:val="14A423A8"/>
    <w:rsid w:val="14FB2FCE"/>
    <w:rsid w:val="15E83F37"/>
    <w:rsid w:val="162C7CC4"/>
    <w:rsid w:val="16841A14"/>
    <w:rsid w:val="16863D1D"/>
    <w:rsid w:val="1698496B"/>
    <w:rsid w:val="16C579F5"/>
    <w:rsid w:val="174E4507"/>
    <w:rsid w:val="17A728DB"/>
    <w:rsid w:val="17AA23CB"/>
    <w:rsid w:val="18394760"/>
    <w:rsid w:val="18F87646"/>
    <w:rsid w:val="19627CDB"/>
    <w:rsid w:val="1A240213"/>
    <w:rsid w:val="1B820317"/>
    <w:rsid w:val="1B9F0500"/>
    <w:rsid w:val="1BF83465"/>
    <w:rsid w:val="1F052CF7"/>
    <w:rsid w:val="1F325180"/>
    <w:rsid w:val="1FF56178"/>
    <w:rsid w:val="204B3CEE"/>
    <w:rsid w:val="20C67591"/>
    <w:rsid w:val="20ED2784"/>
    <w:rsid w:val="220E4DAA"/>
    <w:rsid w:val="228C2DF9"/>
    <w:rsid w:val="22E96237"/>
    <w:rsid w:val="22EE226C"/>
    <w:rsid w:val="230A01C2"/>
    <w:rsid w:val="231B5F2B"/>
    <w:rsid w:val="23771FDE"/>
    <w:rsid w:val="237C2BE8"/>
    <w:rsid w:val="23886DC4"/>
    <w:rsid w:val="23BB21E2"/>
    <w:rsid w:val="23D63ADC"/>
    <w:rsid w:val="25B306D9"/>
    <w:rsid w:val="25D62FC6"/>
    <w:rsid w:val="2619461C"/>
    <w:rsid w:val="26FD42C6"/>
    <w:rsid w:val="27225ADA"/>
    <w:rsid w:val="276F6912"/>
    <w:rsid w:val="27912C60"/>
    <w:rsid w:val="29125D9A"/>
    <w:rsid w:val="2920700C"/>
    <w:rsid w:val="29443B51"/>
    <w:rsid w:val="294C32E2"/>
    <w:rsid w:val="29A44ECD"/>
    <w:rsid w:val="2A4B17EC"/>
    <w:rsid w:val="2ADB00E5"/>
    <w:rsid w:val="2B381D70"/>
    <w:rsid w:val="2B9160D5"/>
    <w:rsid w:val="2BDA4095"/>
    <w:rsid w:val="2C0372D9"/>
    <w:rsid w:val="2C8C0901"/>
    <w:rsid w:val="2CB5731A"/>
    <w:rsid w:val="2CE17289"/>
    <w:rsid w:val="2CF47F19"/>
    <w:rsid w:val="2E06290B"/>
    <w:rsid w:val="2E15043A"/>
    <w:rsid w:val="2E50373D"/>
    <w:rsid w:val="2F0F256E"/>
    <w:rsid w:val="2F555800"/>
    <w:rsid w:val="2FA379D4"/>
    <w:rsid w:val="2FFE2E5D"/>
    <w:rsid w:val="30F57DBC"/>
    <w:rsid w:val="320A579D"/>
    <w:rsid w:val="32732CF6"/>
    <w:rsid w:val="329655CE"/>
    <w:rsid w:val="32DA195F"/>
    <w:rsid w:val="33AF1ED7"/>
    <w:rsid w:val="33EF3C9C"/>
    <w:rsid w:val="34993381"/>
    <w:rsid w:val="35AD493D"/>
    <w:rsid w:val="35D05714"/>
    <w:rsid w:val="35E67273"/>
    <w:rsid w:val="367768D0"/>
    <w:rsid w:val="3720725D"/>
    <w:rsid w:val="391D69AD"/>
    <w:rsid w:val="39225E0E"/>
    <w:rsid w:val="393500E5"/>
    <w:rsid w:val="39FA6443"/>
    <w:rsid w:val="3A255BB6"/>
    <w:rsid w:val="3A2B6F44"/>
    <w:rsid w:val="3B3A1B15"/>
    <w:rsid w:val="3C7050E2"/>
    <w:rsid w:val="3C771FCD"/>
    <w:rsid w:val="3C88242C"/>
    <w:rsid w:val="3C8D7A42"/>
    <w:rsid w:val="3D230FA9"/>
    <w:rsid w:val="3DCC2537"/>
    <w:rsid w:val="3E2110A3"/>
    <w:rsid w:val="3E2C6DE7"/>
    <w:rsid w:val="40EA7211"/>
    <w:rsid w:val="41435CCC"/>
    <w:rsid w:val="41CC2DBB"/>
    <w:rsid w:val="41EE0F83"/>
    <w:rsid w:val="424C5CAA"/>
    <w:rsid w:val="42A91FEA"/>
    <w:rsid w:val="435868E4"/>
    <w:rsid w:val="44292A1B"/>
    <w:rsid w:val="45A46610"/>
    <w:rsid w:val="45B63C5D"/>
    <w:rsid w:val="45C53DA9"/>
    <w:rsid w:val="460E39A2"/>
    <w:rsid w:val="484250BB"/>
    <w:rsid w:val="487A531F"/>
    <w:rsid w:val="497246BA"/>
    <w:rsid w:val="49F904C5"/>
    <w:rsid w:val="4AD2169C"/>
    <w:rsid w:val="4B491961"/>
    <w:rsid w:val="4B5F363F"/>
    <w:rsid w:val="4B6D116B"/>
    <w:rsid w:val="4C344ADE"/>
    <w:rsid w:val="4CA87F80"/>
    <w:rsid w:val="4CE54FBC"/>
    <w:rsid w:val="4D3F77A0"/>
    <w:rsid w:val="4D4F4E69"/>
    <w:rsid w:val="4DBC1F35"/>
    <w:rsid w:val="50765747"/>
    <w:rsid w:val="51856AE2"/>
    <w:rsid w:val="52406619"/>
    <w:rsid w:val="52855B3E"/>
    <w:rsid w:val="530E4142"/>
    <w:rsid w:val="539D2E7D"/>
    <w:rsid w:val="53BA7795"/>
    <w:rsid w:val="542E6703"/>
    <w:rsid w:val="548741DA"/>
    <w:rsid w:val="557F6256"/>
    <w:rsid w:val="56064695"/>
    <w:rsid w:val="576A14E7"/>
    <w:rsid w:val="57F514EB"/>
    <w:rsid w:val="57F549C2"/>
    <w:rsid w:val="586D1AE2"/>
    <w:rsid w:val="58E65D2B"/>
    <w:rsid w:val="58FA5D24"/>
    <w:rsid w:val="593B4E3B"/>
    <w:rsid w:val="593B6B87"/>
    <w:rsid w:val="59E11494"/>
    <w:rsid w:val="5A225816"/>
    <w:rsid w:val="5AA8017D"/>
    <w:rsid w:val="5ABD0E21"/>
    <w:rsid w:val="5C814A76"/>
    <w:rsid w:val="5CCD3AF5"/>
    <w:rsid w:val="5D840BDB"/>
    <w:rsid w:val="5DF748C4"/>
    <w:rsid w:val="5EB36A3D"/>
    <w:rsid w:val="5F320CE1"/>
    <w:rsid w:val="5F8945D3"/>
    <w:rsid w:val="5FDA624B"/>
    <w:rsid w:val="6084715E"/>
    <w:rsid w:val="60AD570E"/>
    <w:rsid w:val="622724FA"/>
    <w:rsid w:val="6278280D"/>
    <w:rsid w:val="62C51F65"/>
    <w:rsid w:val="62D2757B"/>
    <w:rsid w:val="62D73BA1"/>
    <w:rsid w:val="633F4D43"/>
    <w:rsid w:val="647307E7"/>
    <w:rsid w:val="64E85052"/>
    <w:rsid w:val="6553523E"/>
    <w:rsid w:val="666540E5"/>
    <w:rsid w:val="66C54162"/>
    <w:rsid w:val="66F7720F"/>
    <w:rsid w:val="66FC1833"/>
    <w:rsid w:val="67136ED0"/>
    <w:rsid w:val="68C75F81"/>
    <w:rsid w:val="697F022C"/>
    <w:rsid w:val="6A6A514B"/>
    <w:rsid w:val="6C517895"/>
    <w:rsid w:val="6C6E0447"/>
    <w:rsid w:val="6C937EAD"/>
    <w:rsid w:val="6D2C2A13"/>
    <w:rsid w:val="6D4F2026"/>
    <w:rsid w:val="6DBE5310"/>
    <w:rsid w:val="6F0D5B41"/>
    <w:rsid w:val="6F3040D9"/>
    <w:rsid w:val="6F3E1D93"/>
    <w:rsid w:val="71C12482"/>
    <w:rsid w:val="73E23A75"/>
    <w:rsid w:val="74C50E20"/>
    <w:rsid w:val="74EB6AD9"/>
    <w:rsid w:val="763A1732"/>
    <w:rsid w:val="76740D50"/>
    <w:rsid w:val="76861013"/>
    <w:rsid w:val="7770246F"/>
    <w:rsid w:val="77D31AA6"/>
    <w:rsid w:val="7807075D"/>
    <w:rsid w:val="79D621E0"/>
    <w:rsid w:val="7A1F7ECA"/>
    <w:rsid w:val="7A410F49"/>
    <w:rsid w:val="7AB349D9"/>
    <w:rsid w:val="7B734CEE"/>
    <w:rsid w:val="7BE74D5A"/>
    <w:rsid w:val="7CB668B5"/>
    <w:rsid w:val="7CE3278B"/>
    <w:rsid w:val="7D72686D"/>
    <w:rsid w:val="7E6631D1"/>
    <w:rsid w:val="7EDC7492"/>
    <w:rsid w:val="7F227C02"/>
    <w:rsid w:val="7F324DAC"/>
    <w:rsid w:val="7FE62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B8FA2C7"/>
  <w15:docId w15:val="{017D45D8-0521-4162-AB46-9921BAF8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ind w:left="220"/>
      <w:jc w:val="left"/>
    </w:pPr>
    <w:rPr>
      <w:rFonts w:ascii="仿宋" w:eastAsia="仿宋" w:hAnsi="仿宋" w:cs="仿宋"/>
      <w:kern w:val="0"/>
      <w:sz w:val="28"/>
      <w:szCs w:val="28"/>
      <w:lang w:val="zh-CN" w:bidi="zh-CN"/>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b">
    <w:name w:val="List Paragraph"/>
    <w:basedOn w:val="a"/>
    <w:uiPriority w:val="34"/>
    <w:qFormat/>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聂 伟进</dc:creator>
  <cp:lastModifiedBy>Administrator</cp:lastModifiedBy>
  <cp:revision>20</cp:revision>
  <dcterms:created xsi:type="dcterms:W3CDTF">2022-11-07T01:31:00Z</dcterms:created>
  <dcterms:modified xsi:type="dcterms:W3CDTF">2022-11-21T09:59:00Z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4C8405609B194D3FB37F9135D5DAE4D0</vt:lpwstr>
  </property>
</Properties>
</file>